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color w:val="000000"/>
          <w:sz w:val="22"/>
          <w:szCs w:val="22"/>
          <w:rtl w:val="0"/>
        </w:rPr>
        <w:t xml:space="preserve">Ożarów Mazowiecki, </w:t>
      </w:r>
      <w:r w:rsidDel="00000000" w:rsidR="00000000" w:rsidRPr="00000000">
        <w:rPr>
          <w:sz w:val="22"/>
          <w:szCs w:val="22"/>
          <w:rtl w:val="0"/>
        </w:rPr>
        <w:t xml:space="preserve">29</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r w:rsidDel="00000000" w:rsidR="00000000" w:rsidRPr="00000000">
        <w:rPr>
          <w:color w:val="000000"/>
          <w:sz w:val="22"/>
          <w:szCs w:val="22"/>
          <w:rtl w:val="0"/>
        </w:rPr>
        <w:t xml:space="preserve">January 2021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0" w:line="280" w:lineRule="auto"/>
        <w:jc w:val="right"/>
        <w:rPr>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60" w:before="240" w:lineRule="auto"/>
        <w:jc w:val="center"/>
        <w:rPr>
          <w:b w:val="1"/>
          <w:color w:val="000000"/>
          <w:sz w:val="28"/>
          <w:szCs w:val="28"/>
        </w:rPr>
      </w:pPr>
      <w:bookmarkStart w:colFirst="0" w:colLast="0" w:name="_heading=h.30j0zll" w:id="0"/>
      <w:bookmarkEnd w:id="0"/>
      <w:r w:rsidDel="00000000" w:rsidR="00000000" w:rsidRPr="00000000">
        <w:rPr>
          <w:b w:val="1"/>
          <w:color w:val="000000"/>
          <w:sz w:val="28"/>
          <w:szCs w:val="28"/>
          <w:rtl w:val="0"/>
        </w:rPr>
        <w:t xml:space="preserve">Request for proposal No. </w:t>
      </w:r>
      <w:r w:rsidDel="00000000" w:rsidR="00000000" w:rsidRPr="00000000">
        <w:rPr>
          <w:b w:val="1"/>
          <w:sz w:val="28"/>
          <w:szCs w:val="28"/>
          <w:rtl w:val="0"/>
        </w:rPr>
        <w:t xml:space="preserve">RPO-WG/14</w:t>
      </w:r>
      <w:r w:rsidDel="00000000" w:rsidR="00000000" w:rsidRPr="00000000">
        <w:rPr>
          <w:b w:val="1"/>
          <w:color w:val="000000"/>
          <w:sz w:val="28"/>
          <w:szCs w:val="28"/>
          <w:rtl w:val="0"/>
        </w:rPr>
        <w:t xml:space="preserve"> of January 2</w:t>
      </w:r>
      <w:r w:rsidDel="00000000" w:rsidR="00000000" w:rsidRPr="00000000">
        <w:rPr>
          <w:b w:val="1"/>
          <w:sz w:val="28"/>
          <w:szCs w:val="28"/>
          <w:rtl w:val="0"/>
        </w:rPr>
        <w:t xml:space="preserve">9</w:t>
      </w:r>
      <w:r w:rsidDel="00000000" w:rsidR="00000000" w:rsidRPr="00000000">
        <w:rPr>
          <w:b w:val="1"/>
          <w:color w:val="000000"/>
          <w:sz w:val="28"/>
          <w:szCs w:val="28"/>
          <w:rtl w:val="0"/>
        </w:rPr>
        <w:t xml:space="preserve">, 2021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General information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 This request for proposal concerns a supply of goods required for the comprehensive making by VIGO System Spółka Akcyjna (a joint-stock company) with its registered office in Ożarów Mazowiecki of an investment under a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 Agreement November 26, 2019</w:t>
        <w:tab/>
        <w:tab/>
        <w:tab/>
        <w:tab/>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Commercial Division of the National Court Register, under KRS No. 000011394, holding NIP (tax identification number): 5270207340, REGON (statistical number): 010265179, having share capital of PLN 729,000.00 (paid up in full).</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Description of the subject of the contract</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1fob9te" w:id="1"/>
      <w:bookmarkEnd w:id="1"/>
      <w:r w:rsidDel="00000000" w:rsidR="00000000" w:rsidRPr="00000000">
        <w:rPr>
          <w:color w:val="000000"/>
          <w:sz w:val="22"/>
          <w:szCs w:val="22"/>
          <w:rtl w:val="0"/>
        </w:rPr>
        <w:t xml:space="preserve">The subject of the contract is a supply of goods necessary for the Contracting Party’s implementation of a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 Agreement 28 February, 2020, No RPMA.01.02.00-14-b451/18 concluded with the Mazovian Unit for the Implementation of EU Programmes.</w:t>
        <w:tab/>
        <w:tab/>
        <w:tab/>
        <w:tab/>
        <w:tab/>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3znysh7" w:id="2"/>
      <w:bookmarkEnd w:id="2"/>
      <w:r w:rsidDel="00000000" w:rsidR="00000000" w:rsidRPr="00000000">
        <w:rPr>
          <w:sz w:val="22"/>
          <w:szCs w:val="22"/>
          <w:rtl w:val="0"/>
        </w:rPr>
        <w:t xml:space="preserve">The subject of the order is the supply to the headquarters of the Contracting Party of 20 kg of mercury to produce epitaxial layers MCT (cadmium and mercury telluride, MCT, MerCad Telluride, MerCadTel, MerCat or CMT), with purity not less than 99,99999%.</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sz w:val="22"/>
          <w:szCs w:val="22"/>
          <w:u w:val="none"/>
        </w:rPr>
      </w:pPr>
      <w:bookmarkStart w:colFirst="0" w:colLast="0" w:name="_heading=h.jrijxf2mfapu" w:id="3"/>
      <w:bookmarkEnd w:id="3"/>
      <w:r w:rsidDel="00000000" w:rsidR="00000000" w:rsidRPr="00000000">
        <w:rPr>
          <w:sz w:val="22"/>
          <w:szCs w:val="22"/>
          <w:rtl w:val="0"/>
        </w:rPr>
        <w:t xml:space="preserve">Detailed scope of the subject of the contract: The contracting authority requires mercury specified in sec. 2 above with a purity not lower than 99.99999% (7N) - in sealed vials made of glass.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Del="00000000" w:rsidR="00000000" w:rsidRPr="00000000">
        <w:rPr>
          <w:color w:val="000000"/>
          <w:sz w:val="22"/>
          <w:szCs w:val="22"/>
          <w:u w:val="single"/>
          <w:rtl w:val="0"/>
        </w:rPr>
        <w:t xml:space="preserve">are given as examples for convenience.</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partial tenders. The division of the procurement into parts is technologically unjustified, market and technological conditions mean that deliveries in smaller parts would make it difficult for the Employer to properly achieve the project objectives.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shall not accept variants.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Time-limit for completion of the Contract: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40" w:line="280" w:lineRule="auto"/>
        <w:ind w:firstLine="720"/>
        <w:jc w:val="both"/>
        <w:rPr>
          <w:color w:val="000000"/>
          <w:sz w:val="22"/>
          <w:szCs w:val="22"/>
        </w:rPr>
      </w:pPr>
      <w:r w:rsidDel="00000000" w:rsidR="00000000" w:rsidRPr="00000000">
        <w:rPr>
          <w:b w:val="1"/>
          <w:sz w:val="22"/>
          <w:szCs w:val="22"/>
          <w:rtl w:val="0"/>
        </w:rPr>
        <w:t xml:space="preserve">35 days from the date of sign the contract. The term of completion of the contract is understood as the delivery of the subject of the contract to the headquarters of the Ordering Party in accordance with the offer.</w:t>
      </w: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Code based on the Common Procurement Vocabulary (CPV)</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bookmarkStart w:colFirst="0" w:colLast="0" w:name="_heading=h.2et92p0" w:id="4"/>
      <w:bookmarkEnd w:id="4"/>
      <w:r w:rsidDel="00000000" w:rsidR="00000000" w:rsidRPr="00000000">
        <w:rPr>
          <w:sz w:val="22"/>
          <w:szCs w:val="22"/>
          <w:rtl w:val="0"/>
        </w:rPr>
        <w:t xml:space="preserve">24311310-3</w:t>
      </w:r>
      <w:r w:rsidDel="00000000" w:rsidR="00000000" w:rsidRPr="00000000">
        <w:rPr>
          <w:b w:val="1"/>
          <w:sz w:val="22"/>
          <w:szCs w:val="22"/>
          <w:rtl w:val="0"/>
        </w:rPr>
        <w:t xml:space="preserve"> </w:t>
      </w:r>
      <w:r w:rsidDel="00000000" w:rsidR="00000000" w:rsidRPr="00000000">
        <w:rPr>
          <w:sz w:val="22"/>
          <w:szCs w:val="22"/>
          <w:rtl w:val="0"/>
        </w:rPr>
        <w:t xml:space="preserve">– Mercury.</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Conditions for participation and description of procedures aimed at evaluating the compliance with the aforementioned conditions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applying for the contract should submit a signed </w:t>
      </w:r>
      <w:r w:rsidDel="00000000" w:rsidR="00000000" w:rsidRPr="00000000">
        <w:rPr>
          <w:b w:val="1"/>
          <w:color w:val="000000"/>
          <w:sz w:val="22"/>
          <w:szCs w:val="22"/>
          <w:rtl w:val="0"/>
        </w:rPr>
        <w:t xml:space="preserve">tender form</w:t>
      </w:r>
      <w:r w:rsidDel="00000000" w:rsidR="00000000" w:rsidRPr="00000000">
        <w:rPr>
          <w:color w:val="000000"/>
          <w:sz w:val="22"/>
          <w:szCs w:val="22"/>
          <w:rtl w:val="0"/>
        </w:rPr>
        <w:t xml:space="preserve">, prepared in accordance with the specimen set out in </w:t>
      </w:r>
      <w:r w:rsidDel="00000000" w:rsidR="00000000" w:rsidRPr="00000000">
        <w:rPr>
          <w:b w:val="1"/>
          <w:color w:val="000000"/>
          <w:sz w:val="22"/>
          <w:szCs w:val="22"/>
          <w:rtl w:val="0"/>
        </w:rPr>
        <w:t xml:space="preserve">Appendix 1 </w:t>
      </w:r>
      <w:r w:rsidDel="00000000" w:rsidR="00000000" w:rsidRPr="00000000">
        <w:rPr>
          <w:color w:val="000000"/>
          <w:sz w:val="22"/>
          <w:szCs w:val="22"/>
          <w:rtl w:val="0"/>
        </w:rPr>
        <w:t xml:space="preserve">to the Request for Proposal.</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Regardless of the conditions indicated above, the Contractor:</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have qualifications necessary to carry out specific activities or actions if so required by the provisions of the law;  </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u w:val="single"/>
        </w:rPr>
      </w:pPr>
      <w:bookmarkStart w:colFirst="0" w:colLast="0" w:name="_heading=h.tyjcwt" w:id="5"/>
      <w:bookmarkEnd w:id="5"/>
      <w:r w:rsidDel="00000000" w:rsidR="00000000" w:rsidRPr="00000000">
        <w:rPr>
          <w:color w:val="000000"/>
          <w:sz w:val="22"/>
          <w:szCs w:val="22"/>
          <w:rtl w:val="0"/>
        </w:rPr>
        <w:t xml:space="preserve">should have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u w:val="single"/>
        </w:rPr>
      </w:pPr>
      <w:r w:rsidDel="00000000" w:rsidR="00000000" w:rsidRPr="00000000">
        <w:rPr>
          <w:color w:val="000000"/>
          <w:sz w:val="22"/>
          <w:szCs w:val="22"/>
          <w:rtl w:val="0"/>
        </w:rPr>
        <w:t xml:space="preserve">should be in an economic and financial situation ensuring the performance of the Contract;</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not be in arrears with payments of taxes, fees, or social insurance contributions.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fulfillment of the conditions for participation will be evaluated on the basis of </w:t>
      </w:r>
      <w:r w:rsidDel="00000000" w:rsidR="00000000" w:rsidRPr="00000000">
        <w:rPr>
          <w:b w:val="1"/>
          <w:color w:val="000000"/>
          <w:sz w:val="22"/>
          <w:szCs w:val="22"/>
          <w:rtl w:val="0"/>
        </w:rPr>
        <w:t xml:space="preserve">statements </w:t>
      </w:r>
      <w:r w:rsidDel="00000000" w:rsidR="00000000" w:rsidRPr="00000000">
        <w:rPr>
          <w:color w:val="000000"/>
          <w:sz w:val="22"/>
          <w:szCs w:val="22"/>
          <w:rtl w:val="0"/>
        </w:rPr>
        <w:t xml:space="preserve">submitted by the contractor.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may run jointly for this contract. In such a case:</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if their tender is chosen as the most advantageous one, shall submit to the Contracting Party, before signing the contract, a copy of the agreement governing the cooperation between these entities, certified as a true copy of the original;</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none of the entities running jointly for the contract award may be subject to exclusion from the contract award procedure;</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000000" w:rsidDel="00000000" w:rsidP="00000000" w:rsidRDefault="00000000" w:rsidRPr="00000000" w14:paraId="00000022">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the scope of exclusion - related entities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 may not be granted to entities affiliated personally or financially with the Contracting Party.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participation in a company or partnership as a partner;</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holding at least 10% of shares;</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performing the function of a member of a supervisory or management body, a proxy, or an attorney-in-fact;</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remaining in a marital relationship, in consanguinity or affinity in a straight line, kinship of the second degree or affinity of the second degree in the secondary line, or in an adoption, guardianship or custody relationship.</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List of statements and documents to be provided by the Contractors and the requirements regarding documents submitted by the Contractors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to demonstrate that the Contractor meets the conditions for participation as described in item 4.2, the Contracting Party requires that a statement be submitted (in accordance with Appendix </w:t>
      </w:r>
      <w:r w:rsidDel="00000000" w:rsidR="00000000" w:rsidRPr="00000000">
        <w:rPr>
          <w:b w:val="1"/>
          <w:color w:val="000000"/>
          <w:sz w:val="22"/>
          <w:szCs w:val="22"/>
          <w:rtl w:val="0"/>
        </w:rPr>
        <w:t xml:space="preserve">No.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 - Contractor’s statement on fulfillment of conditions for participation in the contract award procedure</w:t>
      </w:r>
      <w:r w:rsidDel="00000000" w:rsidR="00000000" w:rsidRPr="00000000">
        <w:rPr>
          <w:color w:val="000000"/>
          <w:sz w:val="22"/>
          <w:szCs w:val="22"/>
          <w:rtl w:val="0"/>
        </w:rPr>
        <w:t xml:space="preserve">), that the Contractor:</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possesses necessary to carry out specific activities or actions if so required by the provisions of the law;</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have the necessary knowledge, experience as well as technical and human potential to perform the Order;</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041" w:firstLine="0"/>
        <w:jc w:val="both"/>
        <w:rPr>
          <w:color w:val="000000"/>
          <w:sz w:val="22"/>
          <w:szCs w:val="22"/>
        </w:rPr>
      </w:pP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be in an economic and financial situation ensuring the performance of the Contract </w:t>
      </w:r>
    </w:p>
    <w:p w:rsidR="00000000" w:rsidDel="00000000" w:rsidP="00000000" w:rsidRDefault="00000000" w:rsidRPr="00000000" w14:paraId="0000002F">
      <w:pPr>
        <w:jc w:val="both"/>
        <w:rPr>
          <w:color w:val="000000"/>
          <w:sz w:val="22"/>
          <w:szCs w:val="22"/>
        </w:rPr>
      </w:pP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is not in arrears with payments of taxes, fees, or social insurance contributions.</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for the Contractor to demonstrate that there are no grounds for exclusion as indicated in item 5.2., the Contracting Party requires the </w:t>
      </w:r>
      <w:r w:rsidDel="00000000" w:rsidR="00000000" w:rsidRPr="00000000">
        <w:rPr>
          <w:b w:val="1"/>
          <w:color w:val="000000"/>
          <w:sz w:val="22"/>
          <w:szCs w:val="22"/>
          <w:rtl w:val="0"/>
        </w:rPr>
        <w:t xml:space="preserve">Contractor to submit a statement on the lack of personal or capital ties with the Contracting Party</w:t>
      </w:r>
      <w:r w:rsidDel="00000000" w:rsidR="00000000" w:rsidRPr="00000000">
        <w:rPr>
          <w:color w:val="000000"/>
          <w:sz w:val="22"/>
          <w:szCs w:val="22"/>
          <w:rtl w:val="0"/>
        </w:rPr>
        <w:t xml:space="preserve">, in accordance with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4</w:t>
      </w:r>
      <w:r w:rsidDel="00000000" w:rsidR="00000000" w:rsidRPr="00000000">
        <w:rPr>
          <w:color w:val="000000"/>
          <w:sz w:val="22"/>
          <w:szCs w:val="22"/>
          <w:rtl w:val="0"/>
        </w:rPr>
        <w:t xml:space="preserve">. Each of the contractors running jointly for the contract must submit such a statement.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To confirm that the offered subject of the contract meets the requirements of the Contracting Party, the Contractor will submit, together with the tender, a </w:t>
      </w:r>
      <w:r w:rsidDel="00000000" w:rsidR="00000000" w:rsidRPr="00000000">
        <w:rPr>
          <w:b w:val="1"/>
          <w:color w:val="000000"/>
          <w:sz w:val="22"/>
          <w:szCs w:val="22"/>
          <w:rtl w:val="0"/>
        </w:rPr>
        <w:t xml:space="preserve">description of the offered subject of the contract</w:t>
      </w:r>
      <w:r w:rsidDel="00000000" w:rsidR="00000000" w:rsidRPr="00000000">
        <w:rPr>
          <w:color w:val="000000"/>
          <w:sz w:val="22"/>
          <w:szCs w:val="22"/>
          <w:rtl w:val="0"/>
        </w:rPr>
        <w:t xml:space="preserve">.</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Requirements regarding the documents to be submitted by the Contractors:</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b w:val="1"/>
          <w:color w:val="000000"/>
          <w:sz w:val="22"/>
          <w:szCs w:val="22"/>
        </w:rPr>
      </w:pPr>
      <w:r w:rsidDel="00000000" w:rsidR="00000000" w:rsidRPr="00000000">
        <w:rPr>
          <w:color w:val="000000"/>
          <w:sz w:val="22"/>
          <w:szCs w:val="22"/>
          <w:rtl w:val="0"/>
        </w:rPr>
        <w:t xml:space="preserve">The Contracting Party requires that the contractors applying for the contract submit, together with the tender (prepared in accordance with </w:t>
      </w:r>
      <w:r w:rsidDel="00000000" w:rsidR="00000000" w:rsidRPr="00000000">
        <w:rPr>
          <w:b w:val="1"/>
          <w:color w:val="000000"/>
          <w:sz w:val="22"/>
          <w:szCs w:val="22"/>
          <w:rtl w:val="0"/>
        </w:rPr>
        <w:t xml:space="preserve">Appendix 1</w:t>
      </w:r>
      <w:r w:rsidDel="00000000" w:rsidR="00000000" w:rsidRPr="00000000">
        <w:rPr>
          <w:color w:val="000000"/>
          <w:sz w:val="22"/>
          <w:szCs w:val="22"/>
          <w:rtl w:val="0"/>
        </w:rPr>
        <w:t xml:space="preserve"> - specimen of the tender form), </w:t>
      </w:r>
      <w:r w:rsidDel="00000000" w:rsidR="00000000" w:rsidRPr="00000000">
        <w:rPr>
          <w:b w:val="1"/>
          <w:color w:val="000000"/>
          <w:sz w:val="22"/>
          <w:szCs w:val="22"/>
          <w:rtl w:val="0"/>
        </w:rPr>
        <w:t xml:space="preserve">valid document - </w:t>
      </w:r>
      <w:r w:rsidDel="00000000" w:rsidR="00000000" w:rsidRPr="00000000">
        <w:rPr>
          <w:b w:val="1"/>
          <w:color w:val="000000"/>
          <w:sz w:val="22"/>
          <w:szCs w:val="22"/>
          <w:u w:val="single"/>
          <w:rtl w:val="0"/>
        </w:rPr>
        <w:t xml:space="preserve">issued not earlier than 3 months before the deadline for submitting bids - coming from the registration authority indicating the persons authorized to represent the Contractor;</w:t>
      </w:r>
      <w:r w:rsidDel="00000000" w:rsidR="00000000" w:rsidRPr="00000000">
        <w:rPr>
          <w:rtl w:val="0"/>
        </w:rPr>
      </w:r>
    </w:p>
    <w:p w:rsidR="00000000" w:rsidDel="00000000" w:rsidP="00000000" w:rsidRDefault="00000000" w:rsidRPr="00000000" w14:paraId="00000035">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signed offer form and the documents referred to in point 6.1.</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00" w:line="280" w:lineRule="auto"/>
        <w:ind w:left="1417" w:firstLine="0"/>
        <w:jc w:val="both"/>
        <w:rPr>
          <w:color w:val="000000"/>
          <w:sz w:val="22"/>
          <w:szCs w:val="22"/>
        </w:rPr>
      </w:pPr>
      <w:r w:rsidDel="00000000" w:rsidR="00000000" w:rsidRPr="00000000">
        <w:rPr>
          <w:color w:val="000000"/>
          <w:sz w:val="22"/>
          <w:szCs w:val="22"/>
          <w:rtl w:val="0"/>
        </w:rPr>
        <w:t xml:space="preserve">and in point 6.2. must be submitted as original documents, and in the case of electronic submission - in the form of scans in PDF format. The offer in the form of a scan may be sent to the e-mail address indicated in point 9.4  (or via the channel indicated in point 9.5)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other required documents may be submitted as originals or copies certified as true copies of the original by the Contractor, and if documents are sent electronically, in the form of scanned images saved in the PDF format;</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bookmarkStart w:colFirst="0" w:colLast="0" w:name="_heading=h.gjdgxs" w:id="6"/>
      <w:bookmarkEnd w:id="6"/>
      <w:r w:rsidDel="00000000" w:rsidR="00000000" w:rsidRPr="00000000">
        <w:rPr>
          <w:color w:val="000000"/>
          <w:sz w:val="22"/>
          <w:szCs w:val="22"/>
          <w:rtl w:val="0"/>
        </w:rPr>
        <w:t xml:space="preserve">In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Inquiry; </w:t>
      </w:r>
      <w:r w:rsidDel="00000000" w:rsidR="00000000" w:rsidRPr="00000000">
        <w:rPr>
          <w:b w:val="1"/>
          <w:color w:val="000000"/>
          <w:sz w:val="22"/>
          <w:szCs w:val="22"/>
          <w:rtl w:val="0"/>
        </w:rPr>
        <w:t xml:space="preserve">The template of the power of attorney is attached as Appendix no. </w:t>
      </w:r>
      <w:r w:rsidDel="00000000" w:rsidR="00000000" w:rsidRPr="00000000">
        <w:rPr>
          <w:b w:val="1"/>
          <w:sz w:val="22"/>
          <w:szCs w:val="22"/>
          <w:rtl w:val="0"/>
        </w:rPr>
        <w:t xml:space="preserve">5</w:t>
      </w:r>
      <w:r w:rsidDel="00000000" w:rsidR="00000000" w:rsidRPr="00000000">
        <w:rPr>
          <w:b w:val="1"/>
          <w:color w:val="000000"/>
          <w:sz w:val="22"/>
          <w:szCs w:val="22"/>
          <w:rtl w:val="0"/>
        </w:rPr>
        <w:t xml:space="preserve"> to the inquiry;</w:t>
      </w: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ind w:left="1417" w:hanging="795"/>
        <w:rPr>
          <w:color w:val="000000"/>
          <w:sz w:val="22"/>
          <w:szCs w:val="22"/>
        </w:rPr>
      </w:pPr>
      <w:r w:rsidDel="00000000" w:rsidR="00000000" w:rsidRPr="00000000">
        <w:rPr>
          <w:color w:val="000000"/>
          <w:sz w:val="22"/>
          <w:szCs w:val="22"/>
          <w:rtl w:val="0"/>
        </w:rPr>
        <w:t xml:space="preserve">The Ordering Party requires a signed declaration on the processing of personal data - GDPR – </w:t>
      </w:r>
      <w:r w:rsidDel="00000000" w:rsidR="00000000" w:rsidRPr="00000000">
        <w:rPr>
          <w:b w:val="1"/>
          <w:color w:val="000000"/>
          <w:sz w:val="22"/>
          <w:szCs w:val="22"/>
          <w:rtl w:val="0"/>
        </w:rPr>
        <w:t xml:space="preserve">Appendix  no. 6 to the Request for Proposal.</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2041" w:firstLine="0"/>
        <w:rPr>
          <w:color w:val="000000"/>
          <w:sz w:val="22"/>
          <w:szCs w:val="22"/>
        </w:rPr>
      </w:pP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offer (App. No. 1) and other declarations (App. 3, 4, 5,6 ), and tender description must be submitted in Polish or English. An extract from the company register is allowed in one of the official European languages; In the case of submission in another language, the registration document should be submitted together with the translation. The power of attorney should be submitted on the form attached to the request for proposal - Appendix No. 5.</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running jointly for the contract are jointly and severally responsible for the performance of the contract;</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established or domiciled outside the territory of the Republic of Poland shall submit the appropriate document or documents issued in the country in which they are established or domiciled.</w:t>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Criteria for tender evaluation, information on point or percentage weights and the description of the procedure of awarding points for meeting a tender evaluation criterion</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Tenders will be evaluated according to the following criteria:</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b w:val="1"/>
          <w:color w:val="000000"/>
          <w:sz w:val="22"/>
          <w:szCs w:val="22"/>
          <w:rtl w:val="0"/>
        </w:rPr>
        <w:t xml:space="preserve">Tender net  price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points (</w:t>
      </w:r>
      <w:r w:rsidDel="00000000" w:rsidR="00000000" w:rsidRPr="00000000">
        <w:rPr>
          <w:sz w:val="22"/>
          <w:szCs w:val="22"/>
          <w:rtl w:val="0"/>
        </w:rPr>
        <w:t xml:space="preserve">10</w:t>
      </w:r>
      <w:r w:rsidDel="00000000" w:rsidR="00000000" w:rsidRPr="00000000">
        <w:rPr>
          <w:color w:val="000000"/>
          <w:sz w:val="22"/>
          <w:szCs w:val="22"/>
          <w:rtl w:val="0"/>
        </w:rPr>
        <w:t xml:space="preserve">0%);</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method of calculating the criterion value as regards </w:t>
      </w:r>
      <w:r w:rsidDel="00000000" w:rsidR="00000000" w:rsidRPr="00000000">
        <w:rPr>
          <w:b w:val="1"/>
          <w:color w:val="000000"/>
          <w:sz w:val="22"/>
          <w:szCs w:val="22"/>
          <w:rtl w:val="0"/>
        </w:rPr>
        <w:t xml:space="preserve">tender price</w:t>
      </w:r>
      <w:r w:rsidDel="00000000" w:rsidR="00000000" w:rsidRPr="00000000">
        <w:rPr>
          <w:color w:val="000000"/>
          <w:sz w:val="22"/>
          <w:szCs w:val="22"/>
          <w:rtl w:val="0"/>
        </w:rPr>
        <w:t xml:space="preserve">:</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Points for the evaluated tender = the lowest net price for the performance of the subject of the Contract / net price of the evaluated tender x  </w:t>
      </w:r>
      <w:r w:rsidDel="00000000" w:rsidR="00000000" w:rsidRPr="00000000">
        <w:rPr>
          <w:sz w:val="22"/>
          <w:szCs w:val="22"/>
          <w:rtl w:val="0"/>
        </w:rPr>
        <w:t xml:space="preserve">100.</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1% = 1 point.</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maximum score that can be obtained under this criterion is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selection of the most advantageous tender will be decided on the basis of the highest total number of points (max. of 100 points = 100%).</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All calculations will be rounded to second decimal place (rounding from 5 up).</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Other tenders will rank on subsequent places.</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bookmarkStart w:colFirst="0" w:colLast="0" w:name="_heading=h.3dy6vkm" w:id="7"/>
      <w:bookmarkEnd w:id="7"/>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by: </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February 5, </w:t>
      </w:r>
      <w:r w:rsidDel="00000000" w:rsidR="00000000" w:rsidRPr="00000000">
        <w:rPr>
          <w:b w:val="1"/>
          <w:color w:val="000000"/>
          <w:sz w:val="22"/>
          <w:szCs w:val="22"/>
          <w:rtl w:val="0"/>
        </w:rPr>
        <w:t xml:space="preserve">2021.</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should be bound by the submitted tender for a period of at least </w:t>
      </w:r>
      <w:r w:rsidDel="00000000" w:rsidR="00000000" w:rsidRPr="00000000">
        <w:rPr>
          <w:b w:val="1"/>
          <w:color w:val="000000"/>
          <w:sz w:val="22"/>
          <w:szCs w:val="22"/>
          <w:rtl w:val="0"/>
        </w:rPr>
        <w:t xml:space="preserve">60 days</w:t>
      </w:r>
      <w:r w:rsidDel="00000000" w:rsidR="00000000" w:rsidRPr="00000000">
        <w:rPr>
          <w:color w:val="000000"/>
          <w:sz w:val="22"/>
          <w:szCs w:val="22"/>
          <w:rtl w:val="0"/>
        </w:rPr>
        <w:t xml:space="preserve">. The period during which the submitted tender is binding commences at the end of the time limit for submission of tenders. </w:t>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Method of calculating the price and preparing the tender</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Method of calculating the price:</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rPr>
      </w:pPr>
      <w:r w:rsidDel="00000000" w:rsidR="00000000" w:rsidRPr="00000000">
        <w:rPr>
          <w:color w:val="000000"/>
          <w:sz w:val="22"/>
          <w:szCs w:val="22"/>
          <w:rtl w:val="0"/>
        </w:rPr>
        <w:t xml:space="preserve">The Contractor in the presented offer should offer the complete net price, including the total, total cost of the subject of the contract, including all price-generating elements (</w:t>
      </w:r>
      <w:r w:rsidDel="00000000" w:rsidR="00000000" w:rsidRPr="00000000">
        <w:rPr>
          <w:b w:val="1"/>
          <w:color w:val="000000"/>
          <w:sz w:val="22"/>
          <w:szCs w:val="22"/>
          <w:rtl w:val="0"/>
        </w:rPr>
        <w:t xml:space="preserve">all costs of any nature resulting from the implementation of the subject of the contract).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40" w:line="280" w:lineRule="auto"/>
        <w:ind w:left="2041" w:firstLine="0"/>
        <w:jc w:val="both"/>
        <w:rPr>
          <w:color w:val="000000"/>
          <w:sz w:val="22"/>
          <w:szCs w:val="22"/>
        </w:rPr>
      </w:pPr>
      <w:r w:rsidDel="00000000" w:rsidR="00000000" w:rsidRPr="00000000">
        <w:rPr>
          <w:color w:val="000000"/>
          <w:sz w:val="22"/>
          <w:szCs w:val="22"/>
          <w:rtl w:val="0"/>
        </w:rPr>
        <w:t xml:space="preserve">The amount of VAT (in the amount applicable on the day of submitting offers) and the net price should be clearly stated in the offer form.</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the Contractor express the price of the offer in Polish zlotys - PLN or in EURO - EUR.</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shall be expressed with two decimal places.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specimen of the tender form is attached hereto as </w:t>
      </w:r>
      <w:r w:rsidDel="00000000" w:rsidR="00000000" w:rsidRPr="00000000">
        <w:rPr>
          <w:b w:val="1"/>
          <w:color w:val="000000"/>
          <w:sz w:val="22"/>
          <w:szCs w:val="22"/>
          <w:rtl w:val="0"/>
        </w:rPr>
        <w:t xml:space="preserve">Appendix 1</w:t>
      </w:r>
      <w:r w:rsidDel="00000000" w:rsidR="00000000" w:rsidRPr="00000000">
        <w:rPr>
          <w:color w:val="000000"/>
          <w:sz w:val="22"/>
          <w:szCs w:val="22"/>
          <w:rtl w:val="0"/>
        </w:rPr>
        <w:t xml:space="preserve">. The Contractor must submit the tender concerning the performance of the Contract using the specimen of the tender form.</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r w:rsidDel="00000000" w:rsidR="00000000" w:rsidRPr="00000000">
        <w:rPr>
          <w:b w:val="1"/>
          <w:color w:val="000000"/>
          <w:sz w:val="22"/>
          <w:szCs w:val="22"/>
          <w:rtl w:val="0"/>
        </w:rPr>
        <w:t xml:space="preserve">The tender should contain the following attachments: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40" w:line="280" w:lineRule="auto"/>
        <w:jc w:val="both"/>
        <w:rPr>
          <w:color w:val="000000"/>
          <w:sz w:val="22"/>
          <w:szCs w:val="22"/>
        </w:rPr>
      </w:pPr>
      <w:bookmarkStart w:colFirst="0" w:colLast="0" w:name="_heading=h.4d34og8" w:id="8"/>
      <w:bookmarkEnd w:id="8"/>
      <w:r w:rsidDel="00000000" w:rsidR="00000000" w:rsidRPr="00000000">
        <w:rPr>
          <w:color w:val="000000"/>
          <w:rtl w:val="0"/>
        </w:rPr>
        <w:t xml:space="preserve">9.3.1 </w:t>
      </w:r>
      <w:r w:rsidDel="00000000" w:rsidR="00000000" w:rsidRPr="00000000">
        <w:rPr>
          <w:color w:val="000000"/>
          <w:sz w:val="22"/>
          <w:szCs w:val="22"/>
          <w:rtl w:val="0"/>
        </w:rPr>
        <w:t xml:space="preserve">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9.3.2 power of attorney, if the offer is submitted by a representative - Appendix No. </w:t>
      </w:r>
      <w:r w:rsidDel="00000000" w:rsidR="00000000" w:rsidRPr="00000000">
        <w:rPr>
          <w:sz w:val="22"/>
          <w:szCs w:val="22"/>
          <w:rtl w:val="0"/>
        </w:rPr>
        <w:t xml:space="preserve">5 </w:t>
      </w:r>
      <w:r w:rsidDel="00000000" w:rsidR="00000000" w:rsidRPr="00000000">
        <w:rPr>
          <w:color w:val="000000"/>
          <w:sz w:val="22"/>
          <w:szCs w:val="22"/>
          <w:rtl w:val="0"/>
        </w:rPr>
        <w:t xml:space="preserve">to the Request for Proposal;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9.3.3 description of the offered subject of the contract;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9.3.4 a declaration of compliance with the conditions for participation in the procedure together with the documents required therein - Appendix </w:t>
      </w:r>
      <w:r w:rsidDel="00000000" w:rsidR="00000000" w:rsidRPr="00000000">
        <w:rPr>
          <w:sz w:val="22"/>
          <w:szCs w:val="22"/>
          <w:rtl w:val="0"/>
        </w:rPr>
        <w:t xml:space="preserve">3</w:t>
      </w:r>
      <w:r w:rsidDel="00000000" w:rsidR="00000000" w:rsidRPr="00000000">
        <w:rPr>
          <w:color w:val="000000"/>
          <w:sz w:val="22"/>
          <w:szCs w:val="22"/>
          <w:rtl w:val="0"/>
        </w:rPr>
        <w:t xml:space="preserve"> to the Inquiry;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9.3.5 declaration that there are no personal or capital ties between the Contractor and the Ordering Party - Appendix </w:t>
      </w:r>
      <w:r w:rsidDel="00000000" w:rsidR="00000000" w:rsidRPr="00000000">
        <w:rPr>
          <w:sz w:val="22"/>
          <w:szCs w:val="22"/>
          <w:rtl w:val="0"/>
        </w:rPr>
        <w:t xml:space="preserve">4</w:t>
      </w:r>
      <w:r w:rsidDel="00000000" w:rsidR="00000000" w:rsidRPr="00000000">
        <w:rPr>
          <w:color w:val="000000"/>
          <w:sz w:val="22"/>
          <w:szCs w:val="22"/>
          <w:rtl w:val="0"/>
        </w:rPr>
        <w:t xml:space="preserve"> to the Inquiry;</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9.3.7 GDPR declaration - Appendix </w:t>
      </w:r>
      <w:r w:rsidDel="00000000" w:rsidR="00000000" w:rsidRPr="00000000">
        <w:rPr>
          <w:sz w:val="22"/>
          <w:szCs w:val="22"/>
          <w:rtl w:val="0"/>
        </w:rPr>
        <w:t xml:space="preserve">6</w:t>
      </w:r>
      <w:r w:rsidDel="00000000" w:rsidR="00000000" w:rsidRPr="00000000">
        <w:rPr>
          <w:color w:val="000000"/>
          <w:sz w:val="22"/>
          <w:szCs w:val="22"/>
          <w:rtl w:val="0"/>
        </w:rPr>
        <w:t xml:space="preserve"> to the inquiry</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7">
        <w:r w:rsidDel="00000000" w:rsidR="00000000" w:rsidRPr="00000000">
          <w:rPr>
            <w:b w:val="1"/>
            <w:color w:val="0000ff"/>
            <w:sz w:val="22"/>
            <w:szCs w:val="22"/>
            <w:u w:val="single"/>
            <w:rtl w:val="0"/>
          </w:rPr>
          <w:t xml:space="preserve">vigo2020tenders@vigo.com.pl</w:t>
        </w:r>
      </w:hyperlink>
      <w:r w:rsidDel="00000000" w:rsidR="00000000" w:rsidRPr="00000000">
        <w:rPr>
          <w:color w:val="000000"/>
          <w:sz w:val="22"/>
          <w:szCs w:val="22"/>
          <w:rtl w:val="0"/>
        </w:rPr>
        <w:t xml:space="preserve"> with note that</w:t>
      </w:r>
      <w:r w:rsidDel="00000000" w:rsidR="00000000" w:rsidRPr="00000000">
        <w:rPr>
          <w:rtl w:val="0"/>
        </w:rPr>
        <w:t xml:space="preserve"> </w:t>
      </w:r>
      <w:r w:rsidDel="00000000" w:rsidR="00000000" w:rsidRPr="00000000">
        <w:rPr>
          <w:color w:val="000000"/>
          <w:sz w:val="22"/>
          <w:szCs w:val="22"/>
          <w:rtl w:val="0"/>
        </w:rPr>
        <w:t xml:space="preserve">the maximum size of one email cannot exceed 25 MB.</w:t>
      </w:r>
      <w:r w:rsidDel="00000000" w:rsidR="00000000" w:rsidRPr="00000000">
        <w:rPr>
          <w:sz w:val="22"/>
          <w:szCs w:val="22"/>
          <w:rtl w:val="0"/>
        </w:rPr>
        <w:t xml:space="preserve">,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r w:rsidDel="00000000" w:rsidR="00000000" w:rsidRPr="00000000">
        <w:rPr>
          <w:color w:val="000000"/>
          <w:sz w:val="22"/>
          <w:szCs w:val="22"/>
          <w:rtl w:val="0"/>
        </w:rPr>
        <w:t xml:space="preserve">Additionally, the Ordering Party informs about </w:t>
      </w:r>
      <w:r w:rsidDel="00000000" w:rsidR="00000000" w:rsidRPr="00000000">
        <w:rPr>
          <w:b w:val="1"/>
          <w:color w:val="000000"/>
          <w:sz w:val="22"/>
          <w:szCs w:val="22"/>
          <w:rtl w:val="0"/>
        </w:rPr>
        <w:t xml:space="preserve">the possibility of submitting an offer via the module on the advertisement page on the website. https://bazakonkurencyjnosci.funduszeeuropejskie.gov.pl/ in the "OFFERS" -&gt; "Create Offer" section. Submitting an offer requires creating an account and logging in.</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opening and analysis of the submitted offers will take place on the day following the expiry of the deadline for submitting offers.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000000" w:rsidDel="00000000" w:rsidP="00000000" w:rsidRDefault="00000000" w:rsidRPr="00000000" w14:paraId="00000063">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Review of the tenders</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may change or withdraw the tender before the time limit for submission of tenders.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During review and evaluation of tenders, the Contracting Party may: </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provide explanations regarding the contents of the tender within the prescribed period;</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rectify or supplement the shortcomings of the tender within the prescribed period;</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correct obvious typographical or computational errors and other errors that do not significantly change the contents of the tender, notifying the contractor of such a correction. </w:t>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exclude a contractor that fails to meet the conditions for participation.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reject the tender if: </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its contents do not correspond to the contents of the request for proposal; </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contains errors in calculation of the price which cannot be eliminated in accordance with item 10.2 above; </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tenders which contain a flagrantly low price for the subject of the contract;</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contractor has submitted more than one tender. </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relation to the actions taken by the Contracting Party in the course of the contract award procedure, a contractor may submit written comments to the Contracting Party. Comments are submitted within 3 days of the date on which the Contractor learned or could have learned about the circumstances that gave rise to submitting the comments, however not later than until the day on which the Contract is awarded.</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respond to the comments before the contract is awarded. Lack of response to the comments shall be interpreted as a rejection of the comments by the Contracting Party. </w:t>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 respond to the comments made after the expiry of the time limit, comments presented by an unauthorized entity or if the Contracting Party considers the comments unfounded.</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When responding to comments, the Contracting Party provides the response to the contractor who submitted the comments. </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comments of a contractor are considered, the Contracting Party will repeat the activity to which the comments relate. The Contracting Party will promptly inform all the contractors of the repetition or performance of the activity. </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only evaluate the tenders that have been received by the Contracting Party in the period from the date of publication of this request for proposal until the expiry of the time limit for submission of tenders specified in item 8.1</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above. Tenders submitted after the expiry date shall not be reviewed.</w:t>
      </w:r>
    </w:p>
    <w:p w:rsidR="00000000" w:rsidDel="00000000" w:rsidP="00000000" w:rsidRDefault="00000000" w:rsidRPr="00000000" w14:paraId="00000076">
      <w:pPr>
        <w:keepNext w:val="1"/>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Contact persons and asking a questions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11.1</w:t>
      </w:r>
      <w:r w:rsidDel="00000000" w:rsidR="00000000" w:rsidRPr="00000000">
        <w:rPr>
          <w:color w:val="000000"/>
          <w:sz w:val="22"/>
          <w:szCs w:val="22"/>
          <w:rtl w:val="0"/>
        </w:rPr>
        <w:t xml:space="preserve"> Contractors may ask questions to clarify doubts regarding the terms of the procedure for awarding the Contract, in particular regarding the content of the Inquiry, </w:t>
      </w:r>
      <w:r w:rsidDel="00000000" w:rsidR="00000000" w:rsidRPr="00000000">
        <w:rPr>
          <w:b w:val="1"/>
          <w:color w:val="000000"/>
          <w:sz w:val="22"/>
          <w:szCs w:val="22"/>
          <w:rtl w:val="0"/>
        </w:rPr>
        <w:t xml:space="preserve">not later than 3 days before the deadline for submission of tenders.</w:t>
      </w:r>
      <w:r w:rsidDel="00000000" w:rsidR="00000000" w:rsidRPr="00000000">
        <w:rPr>
          <w:color w:val="000000"/>
          <w:sz w:val="22"/>
          <w:szCs w:val="22"/>
          <w:rtl w:val="0"/>
        </w:rPr>
        <w:t xml:space="preserve"> the above-mentioned, the Ordering Party shall immediately publish the explanations in a manner appropriate to the publication of the Inquiry and provide this information to all contractors who have already submitted their offers.</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b w:val="1"/>
          <w:color w:val="000000"/>
          <w:sz w:val="22"/>
          <w:szCs w:val="22"/>
          <w:rtl w:val="0"/>
        </w:rPr>
        <w:t xml:space="preserve">11.2</w:t>
      </w:r>
      <w:r w:rsidDel="00000000" w:rsidR="00000000" w:rsidRPr="00000000">
        <w:rPr>
          <w:color w:val="000000"/>
          <w:sz w:val="22"/>
          <w:szCs w:val="22"/>
          <w:rtl w:val="0"/>
        </w:rPr>
        <w:t xml:space="preserve"> </w:t>
      </w:r>
      <w:r w:rsidDel="00000000" w:rsidR="00000000" w:rsidRPr="00000000">
        <w:rPr>
          <w:sz w:val="22"/>
          <w:szCs w:val="22"/>
          <w:rtl w:val="0"/>
        </w:rPr>
        <w:t xml:space="preserve">The person responsible for contact with the Contractors is Ms Klaudia Jachimowicz</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sz w:val="22"/>
          <w:szCs w:val="22"/>
          <w:rtl w:val="0"/>
        </w:rPr>
        <w:t xml:space="preserve">tel: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11.3</w:t>
      </w:r>
      <w:r w:rsidDel="00000000" w:rsidR="00000000" w:rsidRPr="00000000">
        <w:rPr>
          <w:color w:val="000000"/>
          <w:sz w:val="22"/>
          <w:szCs w:val="22"/>
          <w:rtl w:val="0"/>
        </w:rPr>
        <w:t xml:space="preserve"> In order to remove doubts, the Ordering Party indicates that the person mentioned above is not authorized to make or receive declarations of will on behalf of the Ordering Party.</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selection of the most favorable tender</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commence negotiations with Contractors who properly submitted tenders in the course of the procedure. Negotiations aimed at improving the contract terms may pertain particularly to its price. Negotiations will be conducted in a manner that does not deteriorate the terms of the contract specified in the request for quotation, in a transparent manner and does not affect the access of all contractors to negotiations.</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choose the most favorable tender out of the tenders correctly submitted in the course of the procedure. </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close the Contract award procedure without choosing any tender.</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80" w:lineRule="auto"/>
        <w:jc w:val="both"/>
        <w:rPr>
          <w:color w:val="000000"/>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80" w:lineRule="auto"/>
        <w:jc w:val="both"/>
        <w:rPr>
          <w:color w:val="000000"/>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80" w:lineRule="auto"/>
        <w:jc w:val="both"/>
        <w:rPr>
          <w:color w:val="000000"/>
          <w:sz w:val="22"/>
          <w:szCs w:val="22"/>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20" w:line="280" w:lineRule="auto"/>
        <w:ind w:left="567" w:firstLine="0"/>
        <w:jc w:val="both"/>
        <w:rPr>
          <w:b w:val="1"/>
          <w:color w:val="000000"/>
          <w:sz w:val="24"/>
          <w:szCs w:val="24"/>
        </w:rPr>
      </w:pPr>
      <w:r w:rsidDel="00000000" w:rsidR="00000000" w:rsidRPr="00000000">
        <w:rPr>
          <w:rtl w:val="0"/>
        </w:rPr>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Execution of the contract between the Contracting Party and the contractor</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whose tender is chosen by the Contracting Party as the most advantageous one shall execute a contract agreement with the Contracting Party within 30 days of the announcement on the tender selection.</w:t>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contractor whose tender is selected evades entering into the contract agreement by the date specified above, the Contracting Party choose the most advantageous tender out of the remaining ones.</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w:t>
      </w:r>
      <w:r w:rsidDel="00000000" w:rsidR="00000000" w:rsidRPr="00000000">
        <w:rPr>
          <w:b w:val="1"/>
          <w:color w:val="000000"/>
          <w:sz w:val="22"/>
          <w:szCs w:val="22"/>
          <w:rtl w:val="0"/>
        </w:rPr>
        <w:t xml:space="preserve"> specimen form </w:t>
      </w:r>
      <w:r w:rsidDel="00000000" w:rsidR="00000000" w:rsidRPr="00000000">
        <w:rPr>
          <w:color w:val="000000"/>
          <w:sz w:val="22"/>
          <w:szCs w:val="22"/>
          <w:rtl w:val="0"/>
        </w:rPr>
        <w:t xml:space="preserve">of the contract agreement between the Contracting Party and the contractor is attached hereto as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2</w:t>
      </w:r>
      <w:r w:rsidDel="00000000" w:rsidR="00000000" w:rsidRPr="00000000">
        <w:rPr>
          <w:color w:val="000000"/>
          <w:sz w:val="22"/>
          <w:szCs w:val="22"/>
          <w:rtl w:val="0"/>
        </w:rPr>
        <w:t xml:space="preserve">.</w:t>
      </w:r>
      <w:r w:rsidDel="00000000" w:rsidR="00000000" w:rsidRPr="00000000">
        <w:rPr>
          <w:rtl w:val="0"/>
        </w:rPr>
        <w:t xml:space="preserve"> </w:t>
      </w:r>
      <w:r w:rsidDel="00000000" w:rsidR="00000000" w:rsidRPr="00000000">
        <w:rPr>
          <w:b w:val="1"/>
          <w:color w:val="000000"/>
          <w:sz w:val="22"/>
          <w:szCs w:val="22"/>
          <w:rtl w:val="0"/>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100" w:line="280" w:lineRule="auto"/>
        <w:ind w:left="567" w:hanging="567"/>
        <w:jc w:val="both"/>
        <w:rPr>
          <w:color w:val="000000"/>
          <w:sz w:val="22"/>
          <w:szCs w:val="22"/>
        </w:rPr>
      </w:pPr>
      <w:bookmarkStart w:colFirst="0" w:colLast="0" w:name="_heading=h.1t3h5sf" w:id="9"/>
      <w:bookmarkEnd w:id="9"/>
      <w:r w:rsidDel="00000000" w:rsidR="00000000" w:rsidRPr="00000000">
        <w:rPr>
          <w:b w:val="1"/>
          <w:color w:val="000000"/>
          <w:sz w:val="24"/>
          <w:szCs w:val="24"/>
          <w:rtl w:val="0"/>
        </w:rPr>
        <w:t xml:space="preserve">Conditions for a significant amendment to or modification of the executed contract</w:t>
      </w:r>
      <w:r w:rsidDel="00000000" w:rsidR="00000000" w:rsidRPr="00000000">
        <w:rPr>
          <w:rtl w:val="0"/>
        </w:rPr>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provides for a possibility to amend or modify the executed contract in relation to the contents of the tender on the basis of which the Contractor has been selected, in the following cases:</w:t>
      </w:r>
    </w:p>
    <w:p w:rsidR="00000000" w:rsidDel="00000000" w:rsidP="00000000" w:rsidRDefault="00000000" w:rsidRPr="00000000" w14:paraId="0000008A">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changes are not significant within the meaning of the Guidelines on the eligibility of expenditure under the European Regional Development Fund, the European Social Fund and the Cohesion Fund for 2014-2020;</w:t>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There will be a change in generally applicable laws to the extent that affects the performance of the Order, unless such change was known at the time the offer was made;</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way of fulfilling the obligation, if such a change is necessary for the proper performance of the contract;</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date of contract performance due to circumstances or events that prevent performance of the contract within the set time limit, which was beyond control of both parties;</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change does not change the nature of the contract and the following conditions have been met cumulatively:</w:t>
      </w:r>
    </w:p>
    <w:p w:rsidR="00000000" w:rsidDel="00000000" w:rsidP="00000000" w:rsidRDefault="00000000" w:rsidRPr="00000000" w14:paraId="00000091">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need for the amendment or modification of the contract is due to circumstances that the Contracting Party, acting with due diligence, could not have foreseen, </w:t>
      </w:r>
    </w:p>
    <w:p w:rsidR="00000000" w:rsidDel="00000000" w:rsidP="00000000" w:rsidRDefault="00000000" w:rsidRPr="00000000" w14:paraId="00000092">
      <w:pPr>
        <w:numPr>
          <w:ilvl w:val="3"/>
          <w:numId w:val="2"/>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value of the amendment or modification does not exceed 50% of the Contract value as initially specified in the contract agreement,</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Contractor to whom the Contracting Party has awarded the contract is to be replaced by a new contractor: </w:t>
      </w:r>
    </w:p>
    <w:p w:rsidR="00000000" w:rsidDel="00000000" w:rsidP="00000000" w:rsidRDefault="00000000" w:rsidRPr="00000000" w14:paraId="00000094">
      <w:pPr>
        <w:numPr>
          <w:ilvl w:val="3"/>
          <w:numId w:val="4"/>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under contractual arrangements referred to in items in Contract;</w:t>
      </w:r>
    </w:p>
    <w:p w:rsidR="00000000" w:rsidDel="00000000" w:rsidP="00000000" w:rsidRDefault="00000000" w:rsidRPr="00000000" w14:paraId="00000095">
      <w:pPr>
        <w:numPr>
          <w:ilvl w:val="3"/>
          <w:numId w:val="4"/>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000000" w:rsidDel="00000000" w:rsidP="00000000" w:rsidRDefault="00000000" w:rsidRPr="00000000" w14:paraId="00000096">
      <w:pPr>
        <w:numPr>
          <w:ilvl w:val="3"/>
          <w:numId w:val="4"/>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the Purchaser's assumption of the Contractor's obligations towards its subcontractors,</w:t>
      </w:r>
    </w:p>
    <w:p w:rsidR="00000000" w:rsidDel="00000000" w:rsidP="00000000" w:rsidRDefault="00000000" w:rsidRPr="00000000" w14:paraId="00000097">
      <w:pPr>
        <w:numPr>
          <w:ilvl w:val="2"/>
          <w:numId w:val="3"/>
        </w:numPr>
        <w:pBdr>
          <w:top w:space="0" w:sz="0" w:val="nil"/>
          <w:left w:space="0" w:sz="0" w:val="nil"/>
          <w:bottom w:space="0" w:sz="0" w:val="nil"/>
          <w:right w:space="0" w:sz="0" w:val="nil"/>
          <w:between w:space="0" w:sz="0" w:val="nil"/>
        </w:pBdr>
        <w:spacing w:line="280" w:lineRule="auto"/>
        <w:ind w:left="720" w:hanging="720"/>
        <w:jc w:val="both"/>
        <w:rPr>
          <w:color w:val="000000"/>
          <w:sz w:val="22"/>
          <w:szCs w:val="22"/>
        </w:rPr>
      </w:pPr>
      <w:r w:rsidDel="00000000" w:rsidR="00000000" w:rsidRPr="00000000">
        <w:rPr>
          <w:color w:val="000000"/>
          <w:sz w:val="22"/>
          <w:szCs w:val="22"/>
          <w:rtl w:val="0"/>
        </w:rPr>
        <w:t xml:space="preserve">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98">
      <w:pPr>
        <w:numPr>
          <w:ilvl w:val="2"/>
          <w:numId w:val="3"/>
        </w:numPr>
        <w:pBdr>
          <w:top w:space="0" w:sz="0" w:val="nil"/>
          <w:left w:space="0" w:sz="0" w:val="nil"/>
          <w:bottom w:space="0" w:sz="0" w:val="nil"/>
          <w:right w:space="0" w:sz="0" w:val="nil"/>
          <w:between w:space="0" w:sz="0" w:val="nil"/>
        </w:pBdr>
        <w:spacing w:after="100" w:line="280" w:lineRule="auto"/>
        <w:ind w:left="720" w:hanging="720"/>
        <w:jc w:val="both"/>
        <w:rPr>
          <w:color w:val="000000"/>
          <w:sz w:val="22"/>
          <w:szCs w:val="22"/>
        </w:rPr>
      </w:pPr>
      <w:bookmarkStart w:colFirst="0" w:colLast="0" w:name="_heading=h.2s8eyo1" w:id="10"/>
      <w:bookmarkEnd w:id="10"/>
      <w:r w:rsidDel="00000000" w:rsidR="00000000" w:rsidRPr="00000000">
        <w:rPr>
          <w:color w:val="000000"/>
          <w:sz w:val="22"/>
          <w:szCs w:val="22"/>
          <w:rtl w:val="0"/>
        </w:rPr>
        <w:t xml:space="preserve">in other cases permitted by the Guidelines on Eligibility of Expenditures under the European Regional Development Fund, the European Social Fund and the Cohesion Fund for the Years 2014-2020 in section 6.5.2 point 20.</w:t>
      </w:r>
    </w:p>
    <w:p w:rsidR="00000000" w:rsidDel="00000000" w:rsidP="00000000" w:rsidRDefault="00000000" w:rsidRPr="00000000" w14:paraId="00000099">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Final provisions</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invalidate this request for proposal at any time without providing relevant grounds </w:t>
      </w:r>
      <w:r w:rsidDel="00000000" w:rsidR="00000000" w:rsidRPr="00000000">
        <w:rPr>
          <w:sz w:val="22"/>
          <w:szCs w:val="22"/>
          <w:rtl w:val="0"/>
        </w:rPr>
        <w:t xml:space="preserve">therefore</w:t>
      </w:r>
      <w:r w:rsidDel="00000000" w:rsidR="00000000" w:rsidRPr="00000000">
        <w:rPr>
          <w:color w:val="000000"/>
          <w:sz w:val="22"/>
          <w:szCs w:val="22"/>
          <w:rtl w:val="0"/>
        </w:rPr>
        <w:t xml:space="preserve">.</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Due to the limited functionality of the portal https://bazakonkurencyjnosci.funduszeeuropejskie.gov.pl/, the Ordering Party will publish all changes to the Inquiry documentation and the current, current state of the Inquiry documentation on the website https://vigo.com.pl/o-nas/zamówienia/ . The Ordering Party has created an Inquiry with the same title and number.</w:t>
      </w:r>
    </w:p>
    <w:p w:rsidR="00000000" w:rsidDel="00000000" w:rsidP="00000000" w:rsidRDefault="00000000" w:rsidRPr="00000000" w14:paraId="0000009D">
      <w:pPr>
        <w:keepNext w:val="1"/>
        <w:numPr>
          <w:ilvl w:val="0"/>
          <w:numId w:val="1"/>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Attachments</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following documents are attached to this request for proposals:</w:t>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1 – Specimen of </w:t>
      </w:r>
      <w:r w:rsidDel="00000000" w:rsidR="00000000" w:rsidRPr="00000000">
        <w:rPr>
          <w:sz w:val="22"/>
          <w:szCs w:val="22"/>
          <w:rtl w:val="0"/>
        </w:rPr>
        <w:t xml:space="preserve">the proposal</w:t>
      </w:r>
      <w:r w:rsidDel="00000000" w:rsidR="00000000" w:rsidRPr="00000000">
        <w:rPr>
          <w:color w:val="000000"/>
          <w:sz w:val="22"/>
          <w:szCs w:val="22"/>
          <w:rtl w:val="0"/>
        </w:rPr>
        <w:t xml:space="preserve"> form;</w:t>
      </w:r>
    </w:p>
    <w:p w:rsidR="00000000" w:rsidDel="00000000" w:rsidP="00000000" w:rsidRDefault="00000000" w:rsidRPr="00000000" w14:paraId="000000A0">
      <w:pPr>
        <w:numPr>
          <w:ilvl w:val="2"/>
          <w:numId w:val="1"/>
        </w:numPr>
        <w:spacing w:after="80" w:line="280" w:lineRule="auto"/>
        <w:ind w:left="1417" w:hanging="795"/>
        <w:jc w:val="both"/>
        <w:rPr>
          <w:sz w:val="22"/>
          <w:szCs w:val="22"/>
        </w:rPr>
      </w:pPr>
      <w:r w:rsidDel="00000000" w:rsidR="00000000" w:rsidRPr="00000000">
        <w:rPr>
          <w:sz w:val="22"/>
          <w:szCs w:val="22"/>
          <w:rtl w:val="0"/>
        </w:rPr>
        <w:t xml:space="preserve">Appendix no. 2 – specimen form of the contract agreement between the Contracting Party and the Contractor;</w:t>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3</w:t>
      </w:r>
      <w:r w:rsidDel="00000000" w:rsidR="00000000" w:rsidRPr="00000000">
        <w:rPr>
          <w:color w:val="000000"/>
          <w:sz w:val="22"/>
          <w:szCs w:val="22"/>
          <w:rtl w:val="0"/>
        </w:rPr>
        <w:t xml:space="preserve"> – Contractor’s statement on fulfillment of conditions for participation in the contract award procedure;</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4 – Contractor’s statement on the lack of personal and capital ties between the Contractor and the Contracting Party;</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5 – template of the power of attorney;</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6</w:t>
      </w:r>
      <w:r w:rsidDel="00000000" w:rsidR="00000000" w:rsidRPr="00000000">
        <w:rPr>
          <w:color w:val="000000"/>
          <w:sz w:val="22"/>
          <w:szCs w:val="22"/>
          <w:rtl w:val="0"/>
        </w:rPr>
        <w:t xml:space="preserve"> - GDPR Statement.</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40" w:line="290" w:lineRule="auto"/>
        <w:ind w:left="2041" w:hanging="794"/>
        <w:jc w:val="both"/>
        <w:rPr>
          <w:color w:val="000000"/>
          <w:sz w:val="2"/>
          <w:szCs w:val="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80" w:lineRule="auto"/>
        <w:ind w:left="567" w:hanging="567"/>
        <w:jc w:val="both"/>
        <w:rPr>
          <w:b w:val="1"/>
          <w:color w:val="000000"/>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jc w:val="center"/>
      <w:rPr>
        <w:color w:val="40404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536"/>
        <w:tab w:val="right" w:pos="9072"/>
      </w:tabs>
      <w:ind w:hanging="2"/>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 / 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rPr>
        <w:color w:val="40404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105535" cy="589915"/>
                <wp:effectExtent b="0" l="0" r="0" t="0"/>
                <wp:docPr descr="Logo POIR" id="1050"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jc w:val="right"/>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638935" cy="561340"/>
                <wp:effectExtent b="0" l="0" r="0" t="0"/>
                <wp:docPr descr="UE EFRR_pol" id="1051"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160" w:line="259" w:lineRule="auto"/>
      <w:jc w:val="both"/>
      <w:rPr>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-648170</wp:posOffset>
          </wp:positionH>
          <wp:positionV relativeFrom="paragraph">
            <wp:posOffset>-352422</wp:posOffset>
          </wp:positionV>
          <wp:extent cx="6697028" cy="567087"/>
          <wp:effectExtent b="0" l="0" r="0" t="0"/>
          <wp:wrapTopAndBottom distB="0" distT="0"/>
          <wp:docPr id="10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97028" cy="567087"/>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5537200</wp:posOffset>
              </wp:positionH>
              <wp:positionV relativeFrom="paragraph">
                <wp:posOffset>279400</wp:posOffset>
              </wp:positionV>
              <wp:extent cx="923925" cy="389890"/>
              <wp:effectExtent b="0" l="0" r="0" t="0"/>
              <wp:wrapSquare wrapText="bothSides" distB="0" distT="0" distL="0" distR="0"/>
              <wp:docPr id="1048"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5537200</wp:posOffset>
              </wp:positionH>
              <wp:positionV relativeFrom="paragraph">
                <wp:posOffset>279400</wp:posOffset>
              </wp:positionV>
              <wp:extent cx="923925" cy="389890"/>
              <wp:effectExtent b="0" l="0" r="0" t="0"/>
              <wp:wrapSquare wrapText="bothSides" distB="0" distT="0" distL="0" distR="0"/>
              <wp:docPr id="104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3925" cy="3898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1417" w:hanging="795.0000000000001"/>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4"/>
      <w:numFmt w:val="decimal"/>
      <w:lvlText w:val="%1"/>
      <w:lvlJc w:val="left"/>
      <w:pPr>
        <w:ind w:left="560" w:hanging="560"/>
      </w:pPr>
      <w:rPr/>
    </w:lvl>
    <w:lvl w:ilvl="1">
      <w:start w:val="1"/>
      <w:numFmt w:val="decimal"/>
      <w:lvlText w:val="%1.%2"/>
      <w:lvlJc w:val="left"/>
      <w:pPr>
        <w:ind w:left="560" w:hanging="560"/>
      </w:pPr>
      <w:rPr/>
    </w:lvl>
    <w:lvl w:ilvl="2">
      <w:start w:val="9"/>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ny1" w:customStyle="1">
    <w:name w:val="Normalny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Hoofdstukkop" w:customStyle="1">
    <w:name w:val="Nagłówek 1;Hoofdstukkop"/>
    <w:basedOn w:val="Normalny1"/>
    <w:next w:val="Tekstpodstawowy1"/>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21" w:customStyle="1">
    <w:name w:val="Nagłówek 21"/>
    <w:basedOn w:val="Normalny1"/>
    <w:next w:val="Tekstpodstawowy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1" w:customStyle="1">
    <w:name w:val="Nagłówek 31"/>
    <w:basedOn w:val="Normalny1"/>
    <w:next w:val="Tekstpodstawowy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1" w:customStyle="1">
    <w:name w:val="Nagłówek 41"/>
    <w:basedOn w:val="Normalny1"/>
    <w:next w:val="Tekstpodstawowy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1" w:customStyle="1">
    <w:name w:val="Nagłówek 51"/>
    <w:basedOn w:val="Normalny1"/>
    <w:next w:val="Tekstpodstawowy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1" w:customStyle="1">
    <w:name w:val="Nagłówek 61"/>
    <w:basedOn w:val="Normalny1"/>
    <w:next w:val="Tekstpodstawowy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1" w:customStyle="1">
    <w:name w:val="Nagłówek 71"/>
    <w:basedOn w:val="Normalny1"/>
    <w:next w:val="Tekstpodstawowy1"/>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1" w:customStyle="1">
    <w:name w:val="Nagłówek 81"/>
    <w:basedOn w:val="Normalny1"/>
    <w:next w:val="Tekstpodstawowy1"/>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1" w:customStyle="1">
    <w:name w:val="Nagłówek 91"/>
    <w:basedOn w:val="Normalny1"/>
    <w:next w:val="Tekstpodstawowy1"/>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1" w:customStyle="1">
    <w:name w:val="Domyślna czcionka akapitu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1"/>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1"/>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1"/>
    <w:pPr>
      <w:spacing w:after="140" w:line="290" w:lineRule="auto"/>
      <w:jc w:val="right"/>
    </w:pPr>
    <w:rPr>
      <w:kern w:val="20"/>
      <w:sz w:val="22"/>
      <w:szCs w:val="22"/>
    </w:rPr>
  </w:style>
  <w:style w:type="paragraph" w:styleId="GJBody1" w:customStyle="1">
    <w:name w:val="GJ Body 1"/>
    <w:basedOn w:val="Normalny1"/>
    <w:pPr>
      <w:spacing w:after="140" w:line="290" w:lineRule="auto"/>
      <w:ind w:left="567"/>
      <w:jc w:val="both"/>
    </w:pPr>
    <w:rPr>
      <w:kern w:val="20"/>
      <w:sz w:val="22"/>
      <w:szCs w:val="22"/>
    </w:rPr>
  </w:style>
  <w:style w:type="paragraph" w:styleId="GJBody2" w:customStyle="1">
    <w:name w:val="GJ Body 2"/>
    <w:basedOn w:val="Normalny1"/>
    <w:pPr>
      <w:spacing w:after="140" w:line="290" w:lineRule="auto"/>
      <w:ind w:left="1247"/>
      <w:jc w:val="both"/>
    </w:pPr>
    <w:rPr>
      <w:kern w:val="20"/>
      <w:sz w:val="22"/>
      <w:szCs w:val="22"/>
    </w:rPr>
  </w:style>
  <w:style w:type="paragraph" w:styleId="GJBody3" w:customStyle="1">
    <w:name w:val="GJ Body 3"/>
    <w:basedOn w:val="Normalny1"/>
    <w:pPr>
      <w:spacing w:after="140" w:line="290" w:lineRule="auto"/>
      <w:ind w:left="2041"/>
      <w:jc w:val="both"/>
    </w:pPr>
    <w:rPr>
      <w:kern w:val="20"/>
      <w:sz w:val="22"/>
      <w:szCs w:val="22"/>
    </w:rPr>
  </w:style>
  <w:style w:type="paragraph" w:styleId="GJBody4" w:customStyle="1">
    <w:name w:val="GJ Body 4"/>
    <w:basedOn w:val="Normalny1"/>
    <w:pPr>
      <w:spacing w:after="140" w:line="290" w:lineRule="auto"/>
      <w:ind w:left="2722"/>
      <w:jc w:val="both"/>
    </w:pPr>
    <w:rPr>
      <w:kern w:val="20"/>
      <w:sz w:val="22"/>
      <w:szCs w:val="22"/>
    </w:rPr>
  </w:style>
  <w:style w:type="paragraph" w:styleId="GJBody5" w:customStyle="1">
    <w:name w:val="GJ Body 5"/>
    <w:basedOn w:val="Normalny1"/>
    <w:pPr>
      <w:spacing w:after="140" w:line="290" w:lineRule="auto"/>
      <w:ind w:left="3289"/>
      <w:jc w:val="both"/>
    </w:pPr>
    <w:rPr>
      <w:kern w:val="20"/>
      <w:sz w:val="22"/>
      <w:szCs w:val="22"/>
    </w:rPr>
  </w:style>
  <w:style w:type="paragraph" w:styleId="GJBody6" w:customStyle="1">
    <w:name w:val="GJ Body 6"/>
    <w:basedOn w:val="Normalny1"/>
    <w:pPr>
      <w:spacing w:after="140" w:line="290" w:lineRule="auto"/>
      <w:ind w:left="3969"/>
      <w:jc w:val="both"/>
    </w:pPr>
    <w:rPr>
      <w:kern w:val="20"/>
      <w:sz w:val="22"/>
      <w:szCs w:val="22"/>
    </w:rPr>
  </w:style>
  <w:style w:type="paragraph" w:styleId="TekstkomentarzaGJTekstkomentarza" w:customStyle="1">
    <w:name w:val="Tekst komentarza;GJ Tekst komentarza"/>
    <w:basedOn w:val="Normalny1"/>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1"/>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1"/>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paragraph" w:styleId="Tytu1" w:customStyle="1">
    <w:name w:val="Tytuł1"/>
    <w:basedOn w:val="Normalny1"/>
    <w:next w:val="Normalny1"/>
    <w:pPr>
      <w:spacing w:after="60" w:before="240"/>
      <w:jc w:val="center"/>
    </w:pPr>
    <w:rPr>
      <w:b w:val="1"/>
      <w:bCs w:val="1"/>
      <w:kern w:val="28"/>
      <w:sz w:val="32"/>
      <w:szCs w:val="32"/>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1"/>
    <w:rPr>
      <w:kern w:val="16"/>
      <w:sz w:val="18"/>
      <w:szCs w:val="18"/>
    </w:rPr>
  </w:style>
  <w:style w:type="table" w:styleId="Tabela-Siatka1" w:customStyle="1">
    <w:name w:val="Tabela - Siatka1"/>
    <w:basedOn w:val="Standardowy1"/>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1"/>
    <w:pPr>
      <w:tabs>
        <w:tab w:val="num" w:pos="567"/>
        <w:tab w:val="num" w:pos="720"/>
      </w:tabs>
      <w:spacing w:after="140" w:line="290" w:lineRule="auto"/>
      <w:ind w:left="567" w:hanging="567"/>
      <w:jc w:val="both"/>
    </w:pPr>
    <w:rPr>
      <w:kern w:val="20"/>
    </w:rPr>
  </w:style>
  <w:style w:type="paragraph" w:styleId="GJZacznik2" w:customStyle="1">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1"/>
    <w:pPr>
      <w:tabs>
        <w:tab w:val="num" w:pos="2880"/>
      </w:tabs>
      <w:spacing w:after="140" w:line="290" w:lineRule="auto"/>
      <w:jc w:val="both"/>
      <w:outlineLvl w:val="3"/>
    </w:pPr>
    <w:rPr>
      <w:kern w:val="20"/>
      <w:sz w:val="22"/>
      <w:szCs w:val="22"/>
    </w:rPr>
  </w:style>
  <w:style w:type="paragraph" w:styleId="GJZacznik5" w:customStyle="1">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1"/>
    <w:next w:val="Normalny1"/>
    <w:pPr>
      <w:keepNext w:val="1"/>
      <w:spacing w:after="120" w:before="240" w:line="290" w:lineRule="auto"/>
      <w:jc w:val="center"/>
    </w:pPr>
    <w:rPr>
      <w:sz w:val="28"/>
      <w:szCs w:val="28"/>
    </w:rPr>
  </w:style>
  <w:style w:type="paragraph" w:styleId="GJStrony" w:customStyle="1">
    <w:name w:val="GJ Strony"/>
    <w:basedOn w:val="Normalny1"/>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1"/>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1"/>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1"/>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1"/>
    <w:next w:val="GJBody"/>
    <w:pPr>
      <w:spacing w:after="140" w:before="280" w:line="290" w:lineRule="auto"/>
      <w:ind w:left="2041" w:hanging="794"/>
    </w:pPr>
    <w:rPr>
      <w:kern w:val="20"/>
      <w:sz w:val="22"/>
      <w:szCs w:val="22"/>
    </w:rPr>
  </w:style>
  <w:style w:type="paragraph" w:styleId="Wykazrde1" w:customStyle="1">
    <w:name w:val="Wykaz źródeł1"/>
    <w:basedOn w:val="Normalny1"/>
    <w:next w:val="Normalny1"/>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80" w:lineRule="auto"/>
      <w:ind w:left="1276" w:leftChars="-1" w:hanging="1" w:hangingChars="1"/>
      <w:jc w:val="both"/>
      <w:textDirection w:val="btLr"/>
      <w:textAlignment w:val="top"/>
      <w:outlineLvl w:val="1"/>
    </w:pPr>
    <w:rPr>
      <w:spacing w:val="-2"/>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1" w:customStyle="1">
    <w:name w:val="Tekst dymka1"/>
    <w:basedOn w:val="Normalny1"/>
    <w:rPr>
      <w:rFonts w:ascii="Tahoma" w:cs="Tahoma" w:hAnsi="Tahoma"/>
      <w:sz w:val="16"/>
      <w:szCs w:val="16"/>
    </w:rPr>
  </w:style>
  <w:style w:type="paragraph" w:styleId="Schedule3" w:customStyle="1">
    <w:name w:val="Schedule 3"/>
    <w:basedOn w:val="Normalny1"/>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1" w:customStyle="1">
    <w:name w:val="Hiperłącze1"/>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1" w:customStyle="1">
    <w:name w:val="Tekst podstawowy1"/>
    <w:basedOn w:val="Normalny1"/>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1"/>
    <w:pPr>
      <w:framePr w:lines="0" w:w="5328" w:vSpace="187" w:hSpace="187" w:wrap="around" w:hAnchor="text" w:x="5761" w:y="721"/>
      <w:jc w:val="right"/>
    </w:pPr>
    <w:rPr>
      <w:rFonts w:ascii="Times New Roman" w:cs="Times New Roman" w:hAnsi="Times New Roman"/>
      <w:sz w:val="20"/>
      <w:lang w:val="en-US"/>
    </w:rPr>
  </w:style>
  <w:style w:type="character" w:styleId="Odwoaniedokomentarza1" w:customStyle="1">
    <w:name w:val="Odwołanie do komentarza1"/>
    <w:qFormat w:val="1"/>
    <w:rPr>
      <w:w w:val="100"/>
      <w:position w:val="-1"/>
      <w:sz w:val="16"/>
      <w:szCs w:val="16"/>
      <w:effect w:val="none"/>
      <w:vertAlign w:val="baseline"/>
      <w:cs w:val="0"/>
      <w:em w:val="none"/>
    </w:rPr>
  </w:style>
  <w:style w:type="paragraph" w:styleId="Tematkomentarza1" w:customStyle="1">
    <w:name w:val="Temat komentarza1"/>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1"/>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1" w:customStyle="1">
    <w:name w:val="Poprawka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TableContents" w:customStyle="1">
    <w:name w:val="Table Contents"/>
    <w:basedOn w:val="Normalny1"/>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1" w:customStyle="1">
    <w:name w:val="Odwołanie przypisu dolnego1"/>
    <w:qFormat w:val="1"/>
    <w:rPr>
      <w:w w:val="100"/>
      <w:position w:val="-1"/>
      <w:effect w:val="none"/>
      <w:vertAlign w:val="superscript"/>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rdowy"/>
    <w:tblPr>
      <w:tblStyleRowBandSize w:val="1"/>
      <w:tblStyleColBandSize w:val="1"/>
      <w:tblCellMar>
        <w:left w:w="70.0" w:type="dxa"/>
        <w:right w:w="70.0" w:type="dxa"/>
      </w:tblCellMar>
    </w:tblPr>
  </w:style>
  <w:style w:type="table" w:styleId="a0" w:customStyle="1">
    <w:basedOn w:val="Standardowy"/>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A13E0E"/>
    <w:rPr>
      <w:color w:val="0000ff" w:themeColor="hyperlink"/>
      <w:u w:val="single"/>
    </w:rPr>
  </w:style>
  <w:style w:type="character" w:styleId="Nierozpoznanawzmianka">
    <w:name w:val="Unresolved Mention"/>
    <w:basedOn w:val="Domylnaczcionkaakapitu"/>
    <w:uiPriority w:val="99"/>
    <w:semiHidden w:val="1"/>
    <w:unhideWhenUsed w:val="1"/>
    <w:rsid w:val="00A13E0E"/>
    <w:rPr>
      <w:color w:val="605e5c"/>
      <w:shd w:color="auto" w:fill="e1dfdd" w:val="clear"/>
    </w:rPr>
  </w:style>
  <w:style w:type="paragraph" w:styleId="Nagwek">
    <w:name w:val="header"/>
    <w:basedOn w:val="Normalny"/>
    <w:link w:val="NagwekZnak1"/>
    <w:uiPriority w:val="99"/>
    <w:unhideWhenUsed w:val="1"/>
    <w:rsid w:val="00FC0A35"/>
    <w:pPr>
      <w:tabs>
        <w:tab w:val="center" w:pos="4536"/>
        <w:tab w:val="right" w:pos="9072"/>
      </w:tabs>
    </w:pPr>
  </w:style>
  <w:style w:type="character" w:styleId="NagwekZnak1" w:customStyle="1">
    <w:name w:val="Nagłówek Znak1"/>
    <w:basedOn w:val="Domylnaczcionkaakapitu"/>
    <w:link w:val="Nagwek"/>
    <w:uiPriority w:val="99"/>
    <w:rsid w:val="00FC0A35"/>
  </w:style>
  <w:style w:type="paragraph" w:styleId="Stopka">
    <w:name w:val="footer"/>
    <w:basedOn w:val="Normalny"/>
    <w:link w:val="StopkaZnak"/>
    <w:uiPriority w:val="99"/>
    <w:unhideWhenUsed w:val="1"/>
    <w:rsid w:val="00FC0A35"/>
    <w:pPr>
      <w:tabs>
        <w:tab w:val="center" w:pos="4536"/>
        <w:tab w:val="right" w:pos="9072"/>
      </w:tabs>
    </w:pPr>
  </w:style>
  <w:style w:type="character" w:styleId="StopkaZnak" w:customStyle="1">
    <w:name w:val="Stopka Znak"/>
    <w:basedOn w:val="Domylnaczcionkaakapitu"/>
    <w:link w:val="Stopka"/>
    <w:uiPriority w:val="99"/>
    <w:rsid w:val="00FC0A35"/>
  </w:style>
  <w:style w:type="paragraph" w:styleId="Tekstdymka">
    <w:name w:val="Balloon Text"/>
    <w:basedOn w:val="Normalny"/>
    <w:link w:val="TekstdymkaZnak"/>
    <w:uiPriority w:val="99"/>
    <w:semiHidden w:val="1"/>
    <w:unhideWhenUsed w:val="1"/>
    <w:rsid w:val="00680ED9"/>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80ED9"/>
    <w:rPr>
      <w:rFonts w:ascii="Segoe UI" w:cs="Segoe UI" w:hAnsi="Segoe UI"/>
      <w:sz w:val="18"/>
      <w:szCs w:val="18"/>
    </w:rPr>
  </w:style>
  <w:style w:type="paragraph" w:styleId="Akapitzlist">
    <w:name w:val="List Paragraph"/>
    <w:basedOn w:val="Normalny"/>
    <w:uiPriority w:val="34"/>
    <w:qFormat w:val="1"/>
    <w:rsid w:val="00680ED9"/>
    <w:pPr>
      <w:ind w:left="720"/>
      <w:contextualSpacing w:val="1"/>
    </w:pPr>
  </w:style>
  <w:style w:type="character" w:styleId="StopkaZnak1" w:customStyle="1">
    <w:name w:val="Stopka Znak1"/>
    <w:basedOn w:val="Domylnaczcionkaakapitu"/>
    <w:uiPriority w:val="99"/>
    <w:rsid w:val="00E02806"/>
    <w:rPr>
      <w:position w:val="-1"/>
      <w:sz w:val="24"/>
      <w:szCs w:val="24"/>
      <w:lang w:eastAsia="en-US"/>
    </w:rPr>
  </w:style>
  <w:style w:type="table" w:styleId="a1" w:customStyle="1">
    <w:basedOn w:val="Standardowy"/>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KkxFPO/3d0nXvE45md1kUetjQ==">AMUW2mVvOLjWkSm3sDzVnjoPEZvTY4aQ4F4iCAutNxeBkQUD6QN3u5y6C5R+wj+y/G1dbd+Fx/d3M9WGc2XJ4OUPmEjoxdMzh0mwqLDQjQMr/MGEy8mE762qL+JPcQM1svpnASWWruviXRfvLvdI96is6s3KLAPikY1AQiNOaIV2PDPuQWZqHPVX2lyLW5Ccm6jTNeJaaMOzJg57pQrdxWmumc/4jPNTSg/X+TV5bpMafZOW8NUdfky6AQCfw2Qp4EYlwMxM8Oio1MNjGu2iSeB8BsT/JM6F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2021-01-07T05:13:00Z</dcterms:created>
  <dc:creator>Jakub Pietrasik</dc:creator>
</cp:coreProperties>
</file>