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93E5" w14:textId="77777777" w:rsidR="004D70A6" w:rsidRDefault="00C9062A">
      <w:pPr>
        <w:jc w:val="center"/>
        <w:rPr>
          <w:b/>
        </w:rPr>
      </w:pPr>
      <w:r>
        <w:rPr>
          <w:b/>
        </w:rPr>
        <w:t>OPIS PRZEDMIOTU</w:t>
      </w:r>
      <w:r w:rsidR="0090280C">
        <w:rPr>
          <w:b/>
        </w:rPr>
        <w:t xml:space="preserve"> ZAMÓWIENIA</w:t>
      </w:r>
    </w:p>
    <w:p w14:paraId="5FD46107" w14:textId="77777777" w:rsidR="004D70A6" w:rsidRDefault="004D70A6">
      <w:pPr>
        <w:spacing w:before="100" w:after="0" w:line="360" w:lineRule="auto"/>
        <w:jc w:val="center"/>
        <w:rPr>
          <w:b/>
          <w:sz w:val="18"/>
          <w:szCs w:val="18"/>
        </w:rPr>
      </w:pPr>
      <w:bookmarkStart w:id="0" w:name="_gjdgxs" w:colFirst="0" w:colLast="0"/>
      <w:bookmarkEnd w:id="0"/>
    </w:p>
    <w:p w14:paraId="719B2328" w14:textId="77777777" w:rsidR="004D70A6" w:rsidRDefault="00C906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Przedmiot </w:t>
      </w:r>
      <w:r w:rsidR="0090280C">
        <w:rPr>
          <w:b/>
          <w:color w:val="000000"/>
          <w:u w:val="single"/>
        </w:rPr>
        <w:t>Zamówienia</w:t>
      </w:r>
    </w:p>
    <w:p w14:paraId="67A0AFAA" w14:textId="1E441715" w:rsidR="004D70A6" w:rsidRDefault="00C9062A">
      <w:pPr>
        <w:jc w:val="both"/>
        <w:rPr>
          <w:color w:val="000000"/>
        </w:rPr>
      </w:pPr>
      <w:r>
        <w:rPr>
          <w:color w:val="000000"/>
        </w:rPr>
        <w:t>Przedmiotem zamówienia jest dostawa i montaż</w:t>
      </w:r>
      <w:r w:rsidR="0090280C">
        <w:rPr>
          <w:color w:val="000000"/>
        </w:rPr>
        <w:t xml:space="preserve"> </w:t>
      </w:r>
      <w:r w:rsidR="00BF76D2">
        <w:rPr>
          <w:color w:val="000000"/>
        </w:rPr>
        <w:t xml:space="preserve">stanowiska do pomiarów elektrycznych - </w:t>
      </w:r>
      <w:r w:rsidR="00BF76D2" w:rsidRPr="00ED5EC4">
        <w:rPr>
          <w:color w:val="000000"/>
        </w:rPr>
        <w:t>stacji pomiarowej</w:t>
      </w:r>
      <w:r w:rsidR="00BF76D2">
        <w:rPr>
          <w:color w:val="000000"/>
        </w:rPr>
        <w:t xml:space="preserve"> </w:t>
      </w:r>
      <w:r>
        <w:rPr>
          <w:color w:val="000000"/>
        </w:rPr>
        <w:t>do siedziby Zamawiającego zgodnie ze specyfikacją zawartą w punkcie 5 oraz przeszkolenie pracowników zgodnie z listą kompletacji zawartą w punkcie 2.3.</w:t>
      </w:r>
    </w:p>
    <w:p w14:paraId="1A7FE999" w14:textId="77777777" w:rsidR="004D70A6" w:rsidRDefault="004D70A6">
      <w:pPr>
        <w:spacing w:after="0" w:line="240" w:lineRule="auto"/>
        <w:jc w:val="both"/>
        <w:rPr>
          <w:color w:val="000000"/>
        </w:rPr>
      </w:pPr>
    </w:p>
    <w:p w14:paraId="38314815" w14:textId="77777777" w:rsidR="004D70A6" w:rsidRDefault="00C9062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udziela gwarancji i świadczy usługi serwisowe:</w:t>
      </w:r>
    </w:p>
    <w:p w14:paraId="55A71BA1" w14:textId="52A0F4EA" w:rsidR="004D70A6" w:rsidRPr="00FF633F" w:rsidRDefault="00C9062A" w:rsidP="00527CD3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color w:val="000000"/>
        </w:rPr>
      </w:pPr>
      <w:r w:rsidRPr="00FF633F">
        <w:rPr>
          <w:color w:val="000000"/>
        </w:rPr>
        <w:t>Gwarancja udzielana jest na okres: minimum 24 miesięcy od daty dostawy potwierdzonej protokołem odbioru;</w:t>
      </w:r>
    </w:p>
    <w:p w14:paraId="268CC3B5" w14:textId="0630348A" w:rsidR="00FF633F" w:rsidRDefault="00FF633F" w:rsidP="00527CD3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40" w:line="240" w:lineRule="auto"/>
        <w:jc w:val="both"/>
        <w:textDirection w:val="btLr"/>
        <w:textAlignment w:val="top"/>
        <w:outlineLvl w:val="0"/>
        <w:rPr>
          <w:color w:val="000000"/>
        </w:rPr>
      </w:pPr>
      <w:bookmarkStart w:id="1" w:name="_Hlk62819772"/>
      <w:r w:rsidRPr="00331C23">
        <w:rPr>
          <w:color w:val="000000"/>
        </w:rPr>
        <w:t>Wykonawca zapewni bezpłatny serwis na czas trwania gwarancji</w:t>
      </w:r>
      <w:r>
        <w:rPr>
          <w:color w:val="000000"/>
        </w:rPr>
        <w:t xml:space="preserve"> który wynosić będzie</w:t>
      </w:r>
      <w:r w:rsidR="00527CD3">
        <w:rPr>
          <w:color w:val="000000"/>
        </w:rPr>
        <w:t xml:space="preserve"> co najmniej 24 </w:t>
      </w:r>
      <w:r>
        <w:rPr>
          <w:color w:val="000000"/>
        </w:rPr>
        <w:t>miesi</w:t>
      </w:r>
      <w:r w:rsidR="00527CD3">
        <w:rPr>
          <w:color w:val="000000"/>
        </w:rPr>
        <w:t>ące</w:t>
      </w:r>
      <w:r>
        <w:rPr>
          <w:color w:val="000000"/>
        </w:rPr>
        <w:t xml:space="preserve"> od momentu podpisania protokołu zdawczo odbiorczego </w:t>
      </w:r>
    </w:p>
    <w:p w14:paraId="013CD132" w14:textId="77777777" w:rsidR="00FF633F" w:rsidRDefault="00FF633F" w:rsidP="00527CD3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40" w:line="240" w:lineRule="auto"/>
        <w:jc w:val="both"/>
        <w:textDirection w:val="btLr"/>
        <w:textAlignment w:val="top"/>
        <w:outlineLvl w:val="0"/>
        <w:rPr>
          <w:color w:val="000000"/>
        </w:rPr>
      </w:pPr>
      <w:r w:rsidRPr="00543486">
        <w:rPr>
          <w:color w:val="000000"/>
        </w:rPr>
        <w:t xml:space="preserve">  Wykonawca zapewni bezpłatny serwis w okresie trwania gwarancji, czas przystąpienia do naprawy oraz określenie klasyfikacji naprawy nastąpi w ciągu 5 dni roboczych od momentu zgłoszenia wady, czas zakończenia naprawy nastąpi w terminie zgodnym z klasyfikacją komponentów, która zostanie dostarczona przez oferenta</w:t>
      </w:r>
      <w:r>
        <w:rPr>
          <w:color w:val="000000"/>
        </w:rPr>
        <w:t>;</w:t>
      </w:r>
    </w:p>
    <w:p w14:paraId="153227DC" w14:textId="77777777" w:rsidR="00FF633F" w:rsidRPr="00805435" w:rsidRDefault="00FF633F" w:rsidP="00527CD3">
      <w:pPr>
        <w:pStyle w:val="Akapitzlist"/>
        <w:numPr>
          <w:ilvl w:val="1"/>
          <w:numId w:val="33"/>
        </w:numPr>
        <w:spacing w:line="240" w:lineRule="auto"/>
        <w:ind w:leftChars="0" w:firstLineChars="0"/>
        <w:rPr>
          <w:color w:val="000000"/>
        </w:rPr>
      </w:pPr>
      <w:r w:rsidRPr="00805435">
        <w:rPr>
          <w:color w:val="000000"/>
        </w:rPr>
        <w:t xml:space="preserve"> Wykonawca zapewnia serwis pogwarancyjny</w:t>
      </w:r>
      <w:r>
        <w:rPr>
          <w:color w:val="000000"/>
        </w:rPr>
        <w:t>, wsparcie techniczne</w:t>
      </w:r>
      <w:r w:rsidRPr="00805435">
        <w:rPr>
          <w:color w:val="000000"/>
        </w:rPr>
        <w:t xml:space="preserve"> </w:t>
      </w:r>
      <w:r>
        <w:rPr>
          <w:color w:val="000000"/>
        </w:rPr>
        <w:t xml:space="preserve">oraz dostęp do części zamiennych </w:t>
      </w:r>
      <w:r w:rsidRPr="00805435">
        <w:rPr>
          <w:color w:val="000000"/>
        </w:rPr>
        <w:t>przez okres co najmniej 10 lat od daty dostawy</w:t>
      </w:r>
      <w:r>
        <w:rPr>
          <w:color w:val="000000"/>
        </w:rPr>
        <w:t xml:space="preserve"> </w:t>
      </w:r>
      <w:r w:rsidRPr="003E0BAD">
        <w:rPr>
          <w:color w:val="000000"/>
        </w:rPr>
        <w:t xml:space="preserve">po podpisaniu dodatkowej umowy serwisowej po zakończeniu gwarancji </w:t>
      </w:r>
      <w:r>
        <w:rPr>
          <w:color w:val="000000"/>
        </w:rPr>
        <w:t>lub po zleceniu naprawy zgodnie z wyceną przedstawioną przez Wykonawcę</w:t>
      </w:r>
      <w:r w:rsidRPr="00805435">
        <w:rPr>
          <w:color w:val="000000"/>
        </w:rPr>
        <w:t>;</w:t>
      </w:r>
    </w:p>
    <w:p w14:paraId="402FDB58" w14:textId="43AD756A" w:rsidR="00FF633F" w:rsidRDefault="00FF633F" w:rsidP="00527CD3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40" w:line="240" w:lineRule="auto"/>
        <w:jc w:val="both"/>
        <w:textDirection w:val="btLr"/>
        <w:textAlignment w:val="top"/>
        <w:outlineLvl w:val="0"/>
        <w:rPr>
          <w:color w:val="000000"/>
        </w:rPr>
      </w:pPr>
      <w:r w:rsidRPr="0021244D">
        <w:rPr>
          <w:color w:val="000000"/>
        </w:rPr>
        <w:t>Wykonawca</w:t>
      </w:r>
      <w:r>
        <w:rPr>
          <w:color w:val="000000"/>
        </w:rPr>
        <w:t xml:space="preserve"> w okresie gwarancji zapewni dostęp do bezpłatnych aktualizacji oprogramowania urządzenia oraz</w:t>
      </w:r>
      <w:r w:rsidRPr="0021244D">
        <w:rPr>
          <w:color w:val="000000"/>
        </w:rPr>
        <w:t xml:space="preserve"> jest zobowiązany do udzielenia wsparcia </w:t>
      </w:r>
      <w:r>
        <w:rPr>
          <w:color w:val="000000"/>
        </w:rPr>
        <w:t xml:space="preserve">technicznego </w:t>
      </w:r>
      <w:r w:rsidRPr="0021244D">
        <w:rPr>
          <w:color w:val="000000"/>
        </w:rPr>
        <w:t xml:space="preserve">w godzinach pracy </w:t>
      </w:r>
      <w:r>
        <w:rPr>
          <w:color w:val="000000"/>
        </w:rPr>
        <w:t>producenta</w:t>
      </w:r>
      <w:r w:rsidRPr="0021244D">
        <w:rPr>
          <w:color w:val="000000"/>
        </w:rPr>
        <w:t xml:space="preserve"> przez telefon i e-mail w czasie krótszym niż 48 godzin</w:t>
      </w:r>
      <w:r>
        <w:rPr>
          <w:color w:val="000000"/>
        </w:rPr>
        <w:t>;</w:t>
      </w:r>
    </w:p>
    <w:p w14:paraId="06FE9BB2" w14:textId="77777777" w:rsidR="00FF633F" w:rsidRPr="00F87B69" w:rsidRDefault="00FF633F" w:rsidP="00527CD3">
      <w:pPr>
        <w:pStyle w:val="Akapitzlist"/>
        <w:numPr>
          <w:ilvl w:val="1"/>
          <w:numId w:val="33"/>
        </w:numPr>
        <w:spacing w:line="240" w:lineRule="auto"/>
        <w:ind w:leftChars="0" w:firstLineChars="0"/>
        <w:rPr>
          <w:color w:val="000000"/>
        </w:rPr>
      </w:pPr>
      <w:r w:rsidRPr="0021244D">
        <w:rPr>
          <w:color w:val="000000"/>
        </w:rPr>
        <w:t>Wykonawca zapewni możliwość przeprowadzenia szkoleń z zakresu obsługi systemu w trakcie i po zakończeniu okresu gwarancyjnego oraz w trakcie całego cyklu życia produktu</w:t>
      </w:r>
      <w:r>
        <w:rPr>
          <w:color w:val="000000"/>
        </w:rPr>
        <w:t xml:space="preserve"> po zawarciu stosownych umów lub po uiszczeniu opłaty zgodnie z wyceną Wykonawcy</w:t>
      </w:r>
      <w:r w:rsidRPr="00805435">
        <w:rPr>
          <w:color w:val="000000"/>
        </w:rPr>
        <w:t>;</w:t>
      </w:r>
    </w:p>
    <w:bookmarkEnd w:id="1"/>
    <w:p w14:paraId="22ABA728" w14:textId="77777777" w:rsidR="004D70A6" w:rsidRDefault="004D70A6">
      <w:pPr>
        <w:spacing w:after="0" w:line="240" w:lineRule="auto"/>
        <w:ind w:left="1440"/>
        <w:jc w:val="both"/>
        <w:rPr>
          <w:color w:val="000000"/>
        </w:rPr>
      </w:pPr>
    </w:p>
    <w:p w14:paraId="2E387416" w14:textId="77777777" w:rsidR="004D70A6" w:rsidRDefault="004D70A6">
      <w:pPr>
        <w:spacing w:after="0" w:line="240" w:lineRule="auto"/>
        <w:ind w:left="1440"/>
        <w:jc w:val="both"/>
        <w:rPr>
          <w:highlight w:val="white"/>
        </w:rPr>
      </w:pPr>
    </w:p>
    <w:p w14:paraId="46CA3F91" w14:textId="77777777" w:rsidR="004D70A6" w:rsidRDefault="004D70A6">
      <w:pPr>
        <w:spacing w:after="0" w:line="240" w:lineRule="auto"/>
        <w:jc w:val="both"/>
        <w:rPr>
          <w:highlight w:val="white"/>
        </w:rPr>
      </w:pPr>
    </w:p>
    <w:p w14:paraId="57F573C4" w14:textId="77777777" w:rsidR="004D70A6" w:rsidRDefault="00C9062A">
      <w:pPr>
        <w:spacing w:after="0" w:line="240" w:lineRule="auto"/>
        <w:jc w:val="both"/>
        <w:rPr>
          <w:highlight w:val="white"/>
        </w:rPr>
      </w:pPr>
      <w:r>
        <w:t>Dodatkowo Wykonawca będzie spełniał następujące wymagania:</w:t>
      </w:r>
    </w:p>
    <w:p w14:paraId="7E671B16" w14:textId="77777777" w:rsidR="004D70A6" w:rsidRDefault="00C9062A">
      <w:pPr>
        <w:numPr>
          <w:ilvl w:val="1"/>
          <w:numId w:val="27"/>
        </w:numPr>
        <w:spacing w:after="0" w:line="240" w:lineRule="auto"/>
        <w:ind w:left="709"/>
        <w:jc w:val="both"/>
        <w:rPr>
          <w:highlight w:val="white"/>
        </w:rPr>
      </w:pPr>
      <w:r>
        <w:t>Wykonawca przeprowadzi szkolenie w siedzibie Zamawiającego w celu zademonstrowania systemu, przedstawienia procesów i nauki obsługi systemu zgodnie z pkt. 3 specyfikacji zawartej w ust. 2;</w:t>
      </w:r>
    </w:p>
    <w:p w14:paraId="548728FB" w14:textId="123B6192" w:rsidR="004D70A6" w:rsidRPr="00CB65E5" w:rsidRDefault="00C9062A">
      <w:pPr>
        <w:numPr>
          <w:ilvl w:val="1"/>
          <w:numId w:val="27"/>
        </w:numPr>
        <w:spacing w:after="0" w:line="240" w:lineRule="auto"/>
        <w:ind w:left="709"/>
        <w:jc w:val="both"/>
        <w:rPr>
          <w:highlight w:val="white"/>
        </w:rPr>
      </w:pPr>
      <w:r>
        <w:t>Wykonawca jest zobowiązany do zapewnienia zgodności z deklaracją CE.</w:t>
      </w:r>
    </w:p>
    <w:p w14:paraId="0B1AE3F3" w14:textId="73F88ED9" w:rsidR="00CB65E5" w:rsidRDefault="00CB65E5">
      <w:pPr>
        <w:numPr>
          <w:ilvl w:val="1"/>
          <w:numId w:val="27"/>
        </w:numPr>
        <w:spacing w:after="0" w:line="240" w:lineRule="auto"/>
        <w:ind w:left="709"/>
        <w:jc w:val="both"/>
        <w:rPr>
          <w:highlight w:val="white"/>
        </w:rPr>
      </w:pPr>
      <w:r>
        <w:t xml:space="preserve">Wykonawca zobowiązany jest do przestawienia dokumentacji eksploatacyjnej w </w:t>
      </w:r>
      <w:r w:rsidR="00951E97">
        <w:t>języku</w:t>
      </w:r>
      <w:r>
        <w:t xml:space="preserve"> polskim lub angielskim. </w:t>
      </w:r>
    </w:p>
    <w:p w14:paraId="603C071D" w14:textId="77777777" w:rsidR="004D70A6" w:rsidRDefault="00C906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  <w:r>
        <w:br w:type="page"/>
      </w:r>
    </w:p>
    <w:p w14:paraId="79E9CCE2" w14:textId="77777777" w:rsidR="004D70A6" w:rsidRDefault="00C906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Zakres przedmiotowy </w:t>
      </w:r>
      <w:r w:rsidR="00B30662">
        <w:rPr>
          <w:b/>
          <w:color w:val="000000"/>
          <w:u w:val="single"/>
        </w:rPr>
        <w:t>zamówienia</w:t>
      </w:r>
    </w:p>
    <w:p w14:paraId="1965E2C7" w14:textId="77777777" w:rsidR="004D70A6" w:rsidRDefault="00C9062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Przedmiotem zlecenia jest:</w:t>
      </w:r>
    </w:p>
    <w:p w14:paraId="74B9BCB0" w14:textId="77777777" w:rsidR="004D70A6" w:rsidRDefault="00C9062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Automatyczny system do charakteryzacji parametrów elektrycznych przyrządów półprzewodnikowych:</w:t>
      </w:r>
    </w:p>
    <w:p w14:paraId="1488A852" w14:textId="77777777" w:rsidR="004D70A6" w:rsidRDefault="00C906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Automatyczna stacja pomiarowa z: </w:t>
      </w:r>
    </w:p>
    <w:p w14:paraId="59AE1958" w14:textId="77777777" w:rsidR="004D70A6" w:rsidRDefault="00C906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jc w:val="both"/>
      </w:pPr>
      <w:r>
        <w:rPr>
          <w:color w:val="000000"/>
        </w:rPr>
        <w:t>mikromanipulatorami i sondami do charakteryzacji I-V i charakteryzacji RF</w:t>
      </w:r>
    </w:p>
    <w:p w14:paraId="070F30B8" w14:textId="77777777" w:rsidR="004D70A6" w:rsidRDefault="00C906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jc w:val="both"/>
      </w:pPr>
      <w:r>
        <w:rPr>
          <w:color w:val="000000"/>
        </w:rPr>
        <w:t>Komora załadowcza do pojedynczych podłoży oraz przystawek (</w:t>
      </w:r>
      <w:proofErr w:type="spellStart"/>
      <w:r>
        <w:rPr>
          <w:color w:val="000000"/>
        </w:rPr>
        <w:t>add-ons</w:t>
      </w:r>
      <w:proofErr w:type="spellEnd"/>
      <w:r>
        <w:rPr>
          <w:color w:val="000000"/>
        </w:rPr>
        <w:t>) pod niestandardowe płytki</w:t>
      </w:r>
    </w:p>
    <w:p w14:paraId="6CCCBDF6" w14:textId="77777777" w:rsidR="004D70A6" w:rsidRDefault="00C906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jc w:val="both"/>
      </w:pPr>
      <w:r>
        <w:rPr>
          <w:color w:val="000000"/>
        </w:rPr>
        <w:t>przystawka pod niestandardowe płytki</w:t>
      </w:r>
    </w:p>
    <w:p w14:paraId="05A06C46" w14:textId="77777777" w:rsidR="004D70A6" w:rsidRDefault="00C906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jc w:val="both"/>
      </w:pPr>
      <w:r>
        <w:rPr>
          <w:color w:val="000000"/>
        </w:rPr>
        <w:t>wizualna (mikroskopowa) kontrola położenia sond</w:t>
      </w:r>
    </w:p>
    <w:p w14:paraId="76666E1A" w14:textId="77777777" w:rsidR="004D70A6" w:rsidRDefault="00C906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jc w:val="both"/>
      </w:pPr>
      <w:r>
        <w:rPr>
          <w:color w:val="000000"/>
        </w:rPr>
        <w:t>kontrola siły docisku</w:t>
      </w:r>
    </w:p>
    <w:p w14:paraId="529ACFE2" w14:textId="77777777" w:rsidR="004D70A6" w:rsidRDefault="00C906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Układ regulacji temperatury w zakresie temperatur co najmniej od -60°C do 200°C</w:t>
      </w:r>
    </w:p>
    <w:p w14:paraId="1825F56F" w14:textId="77777777" w:rsidR="004D70A6" w:rsidRDefault="00C906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Analizator parametryczny ze źródłami prądu i napięcia</w:t>
      </w:r>
    </w:p>
    <w:p w14:paraId="03455F1F" w14:textId="77777777" w:rsidR="004D70A6" w:rsidRDefault="00C906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Wektorowy analizator sieci</w:t>
      </w:r>
    </w:p>
    <w:p w14:paraId="175ED9CB" w14:textId="77777777" w:rsidR="004D70A6" w:rsidRDefault="00C9062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Instalacja systemu w obiekcie Zamawiającego</w:t>
      </w:r>
    </w:p>
    <w:p w14:paraId="2CD5F6B3" w14:textId="77777777" w:rsidR="004D70A6" w:rsidRDefault="00C9062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Szkolenie po instalacji dla co najmniej dwóch operatorów, w zakresie:</w:t>
      </w:r>
    </w:p>
    <w:p w14:paraId="2765F31E" w14:textId="77777777" w:rsidR="004D70A6" w:rsidRDefault="00C906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</w:pPr>
      <w:r>
        <w:rPr>
          <w:color w:val="000000"/>
        </w:rPr>
        <w:t>Funkcji bezpieczeństwa systemu</w:t>
      </w:r>
    </w:p>
    <w:p w14:paraId="0D2C8152" w14:textId="77777777" w:rsidR="004D70A6" w:rsidRDefault="00C906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</w:pPr>
      <w:r>
        <w:rPr>
          <w:color w:val="000000"/>
        </w:rPr>
        <w:t>Konserwacji stacji pomiarowej</w:t>
      </w:r>
    </w:p>
    <w:p w14:paraId="7F69DBD6" w14:textId="77777777" w:rsidR="004D70A6" w:rsidRDefault="00C906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</w:pPr>
      <w:r>
        <w:rPr>
          <w:color w:val="000000"/>
        </w:rPr>
        <w:t>Obsługi stacji pomiarowej:</w:t>
      </w:r>
    </w:p>
    <w:p w14:paraId="1B2391A9" w14:textId="77777777" w:rsidR="004D70A6" w:rsidRDefault="00C906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</w:pPr>
      <w:r>
        <w:rPr>
          <w:color w:val="000000"/>
        </w:rPr>
        <w:t>Manipulowanie próbką/podłożem</w:t>
      </w:r>
    </w:p>
    <w:p w14:paraId="3E97D00B" w14:textId="77777777" w:rsidR="004D70A6" w:rsidRDefault="00C906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</w:pPr>
      <w:r>
        <w:rPr>
          <w:color w:val="000000"/>
        </w:rPr>
        <w:t>Ustawienie temperatury</w:t>
      </w:r>
    </w:p>
    <w:p w14:paraId="6115130E" w14:textId="77777777" w:rsidR="004D70A6" w:rsidRDefault="00C906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</w:pPr>
      <w:r>
        <w:rPr>
          <w:color w:val="000000"/>
        </w:rPr>
        <w:t>Manipulacja mikroskopem</w:t>
      </w:r>
    </w:p>
    <w:p w14:paraId="0088F0DB" w14:textId="77777777" w:rsidR="004D70A6" w:rsidRDefault="00C906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</w:pPr>
      <w:r>
        <w:rPr>
          <w:color w:val="000000"/>
        </w:rPr>
        <w:t>Obsługa mikromanipulatorów</w:t>
      </w:r>
    </w:p>
    <w:p w14:paraId="208CC333" w14:textId="77777777" w:rsidR="004D70A6" w:rsidRDefault="00C906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560"/>
      </w:pPr>
      <w:r>
        <w:rPr>
          <w:color w:val="000000"/>
        </w:rPr>
        <w:t>Wymiana sond</w:t>
      </w:r>
    </w:p>
    <w:p w14:paraId="53293380" w14:textId="77777777" w:rsidR="004D70A6" w:rsidRDefault="00C906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</w:pPr>
      <w:r>
        <w:rPr>
          <w:color w:val="000000"/>
        </w:rPr>
        <w:t>Definicji mapy wafla</w:t>
      </w:r>
    </w:p>
    <w:p w14:paraId="6EA98EC6" w14:textId="77777777" w:rsidR="004D70A6" w:rsidRDefault="00C906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</w:pPr>
      <w:r>
        <w:rPr>
          <w:color w:val="000000"/>
        </w:rPr>
        <w:t>Inicjalizacji pomiarów</w:t>
      </w:r>
    </w:p>
    <w:p w14:paraId="79D73F35" w14:textId="77777777" w:rsidR="004D70A6" w:rsidRDefault="00C906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</w:pPr>
      <w:r>
        <w:rPr>
          <w:color w:val="000000"/>
        </w:rPr>
        <w:t>Ustawiania procedury pomiarowej</w:t>
      </w:r>
    </w:p>
    <w:p w14:paraId="51A0C911" w14:textId="77777777" w:rsidR="004D70A6" w:rsidRDefault="00C906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</w:pPr>
      <w:r>
        <w:rPr>
          <w:color w:val="000000"/>
        </w:rPr>
        <w:t>Dokonywania pomiarów</w:t>
      </w:r>
    </w:p>
    <w:p w14:paraId="204E71E9" w14:textId="77777777" w:rsidR="004D70A6" w:rsidRDefault="00C906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</w:pPr>
      <w:r>
        <w:rPr>
          <w:color w:val="000000"/>
        </w:rPr>
        <w:t>Komunikacji pomiędzy przyrządami pomiarowymi a stacją pomiarową (oprogramowanie i polecenia)</w:t>
      </w:r>
    </w:p>
    <w:p w14:paraId="7C74BE39" w14:textId="77777777" w:rsidR="004D70A6" w:rsidRDefault="00C906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18"/>
      </w:pPr>
      <w:r>
        <w:rPr>
          <w:color w:val="000000"/>
        </w:rPr>
        <w:t>Pomiarów wielowaflowych</w:t>
      </w:r>
    </w:p>
    <w:p w14:paraId="25B294F5" w14:textId="77777777" w:rsidR="004D70A6" w:rsidRDefault="00C906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 oceny</w:t>
      </w:r>
    </w:p>
    <w:p w14:paraId="4F094568" w14:textId="77777777" w:rsidR="004D70A6" w:rsidRDefault="00C9062A">
      <w:r>
        <w:t>Wszystkie funkcje wymienione w sekcji nr 5 są obowiązkowe, rozumiane jako wymagania minimalne, i spełnione przez system.</w:t>
      </w:r>
    </w:p>
    <w:p w14:paraId="31B88EC8" w14:textId="77777777" w:rsidR="004D70A6" w:rsidRDefault="00C9062A">
      <w:pPr>
        <w:jc w:val="both"/>
      </w:pPr>
      <w:r>
        <w:t>Oferty, które spełniają minimalne wymagania będą oceniane w skali punktowej, maksymalnie 100 punktów.</w:t>
      </w:r>
    </w:p>
    <w:tbl>
      <w:tblPr>
        <w:tblStyle w:val="a"/>
        <w:tblW w:w="90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78"/>
        <w:gridCol w:w="2315"/>
        <w:gridCol w:w="2315"/>
      </w:tblGrid>
      <w:tr w:rsidR="004D70A6" w14:paraId="23D44A40" w14:textId="77777777">
        <w:trPr>
          <w:trHeight w:val="950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A6CFF" w14:textId="77777777" w:rsidR="004D70A6" w:rsidRDefault="00C9062A">
            <w:r>
              <w:t>Kryterium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41A0D" w14:textId="77777777" w:rsidR="004D70A6" w:rsidRDefault="00C9062A">
            <w:r>
              <w:t>Maksymalna liczba punktów (S)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2D07" w14:textId="77777777" w:rsidR="004D70A6" w:rsidRDefault="00C9062A">
            <w:r>
              <w:t>Metoda przyznawania</w:t>
            </w:r>
          </w:p>
        </w:tc>
      </w:tr>
      <w:tr w:rsidR="004D70A6" w14:paraId="54767836" w14:textId="77777777">
        <w:trPr>
          <w:trHeight w:val="569"/>
        </w:trPr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3186" w14:textId="77777777" w:rsidR="004D70A6" w:rsidRDefault="00C9062A">
            <w:r>
              <w:lastRenderedPageBreak/>
              <w:t>Cena (P)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5A4F7" w14:textId="77777777" w:rsidR="004D70A6" w:rsidRDefault="00C9062A">
            <w:pPr>
              <w:widowControl w:val="0"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675EB" w14:textId="77777777" w:rsidR="004D70A6" w:rsidRDefault="00C9062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  <w:tr w:rsidR="004D70A6" w14:paraId="3FB179BE" w14:textId="77777777">
        <w:trPr>
          <w:trHeight w:val="586"/>
        </w:trPr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E802A" w14:textId="17CC53EC" w:rsidR="004D70A6" w:rsidRDefault="00C9062A">
            <w:r>
              <w:t>Czas trwania okresu gwarancji</w:t>
            </w:r>
            <w:r w:rsidR="00527CD3">
              <w:t xml:space="preserve"> w miesiącach</w:t>
            </w:r>
            <w:r>
              <w:t xml:space="preserve"> (W)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7AF36" w14:textId="77777777" w:rsidR="004D70A6" w:rsidRDefault="00C9062A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9904C" w14:textId="77777777" w:rsidR="004D70A6" w:rsidRDefault="00C9062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Wi</w:t>
            </w:r>
            <w:proofErr w:type="spellEnd"/>
            <w:r>
              <w:t>/</w:t>
            </w:r>
            <w:proofErr w:type="spellStart"/>
            <w:r>
              <w:t>Wmax</w:t>
            </w:r>
            <w:proofErr w:type="spellEnd"/>
          </w:p>
        </w:tc>
      </w:tr>
    </w:tbl>
    <w:p w14:paraId="16984877" w14:textId="77777777" w:rsidR="004D70A6" w:rsidRDefault="004D70A6">
      <w:pPr>
        <w:spacing w:after="0" w:line="240" w:lineRule="auto"/>
      </w:pPr>
      <w:bookmarkStart w:id="3" w:name="_1fob9te" w:colFirst="0" w:colLast="0"/>
      <w:bookmarkEnd w:id="3"/>
    </w:p>
    <w:p w14:paraId="6B20B9EC" w14:textId="77777777" w:rsidR="004D70A6" w:rsidRDefault="00C9062A">
      <w:pPr>
        <w:spacing w:after="0" w:line="240" w:lineRule="auto"/>
        <w:jc w:val="both"/>
      </w:pPr>
      <w:r>
        <w:t>Gdzie:</w:t>
      </w:r>
    </w:p>
    <w:p w14:paraId="61897184" w14:textId="77777777" w:rsidR="004D70A6" w:rsidRDefault="00C906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Pi, </w:t>
      </w:r>
      <w:proofErr w:type="spellStart"/>
      <w:r>
        <w:rPr>
          <w:color w:val="000000"/>
        </w:rPr>
        <w:t>Wi</w:t>
      </w:r>
      <w:proofErr w:type="spellEnd"/>
      <w:r>
        <w:rPr>
          <w:color w:val="000000"/>
        </w:rPr>
        <w:t>, są odpowiednio ceną, okresem gwarancji urządzenia,</w:t>
      </w:r>
    </w:p>
    <w:p w14:paraId="70D4CC9C" w14:textId="77777777" w:rsidR="004D70A6" w:rsidRDefault="00C906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Pmin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Wmax</w:t>
      </w:r>
      <w:proofErr w:type="spellEnd"/>
      <w:r>
        <w:rPr>
          <w:color w:val="000000"/>
        </w:rPr>
        <w:t>, to odpowiednio minimalna cena urządzenia wśród wszystkich ofert, maksymalny okres gwarancji urządzenia wśród wszystkich ofert.</w:t>
      </w:r>
    </w:p>
    <w:p w14:paraId="2EBA7FF3" w14:textId="77777777" w:rsidR="004D70A6" w:rsidRDefault="00C9062A">
      <w:pPr>
        <w:jc w:val="both"/>
      </w:pPr>
      <w:r>
        <w:t>Wynik końcowy zostanie obliczony przez zsumowanie składników częściowych, a następnie zaokrąglenie do dwóch miejsc po przecinku.</w:t>
      </w:r>
    </w:p>
    <w:p w14:paraId="43CB49BF" w14:textId="77777777" w:rsidR="004D70A6" w:rsidRDefault="00C906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color w:val="000000"/>
        </w:rPr>
      </w:pPr>
      <w:r>
        <w:rPr>
          <w:b/>
          <w:color w:val="000000"/>
          <w:u w:val="single"/>
        </w:rPr>
        <w:t>Termin realizacji zamówienia</w:t>
      </w:r>
    </w:p>
    <w:p w14:paraId="68D8EE44" w14:textId="2368D456" w:rsidR="004D70A6" w:rsidRDefault="00C906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Do 20 tygodni </w:t>
      </w:r>
      <w:r w:rsidR="00B30662">
        <w:t>od dnia</w:t>
      </w:r>
      <w:r>
        <w:t xml:space="preserve"> </w:t>
      </w:r>
      <w:r w:rsidR="00527CD3">
        <w:t>zawarcia umowy.</w:t>
      </w:r>
    </w:p>
    <w:p w14:paraId="65398449" w14:textId="77777777" w:rsidR="004D70A6" w:rsidRDefault="00C906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>Parametry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2219"/>
        <w:gridCol w:w="6383"/>
      </w:tblGrid>
      <w:tr w:rsidR="004D70A6" w14:paraId="11483DC8" w14:textId="77777777">
        <w:tc>
          <w:tcPr>
            <w:tcW w:w="460" w:type="dxa"/>
            <w:shd w:val="clear" w:color="auto" w:fill="D9D9D9"/>
          </w:tcPr>
          <w:p w14:paraId="6A94DFB3" w14:textId="77777777" w:rsidR="004D70A6" w:rsidRDefault="00C9062A">
            <w:r>
              <w:t>#</w:t>
            </w:r>
          </w:p>
        </w:tc>
        <w:tc>
          <w:tcPr>
            <w:tcW w:w="2219" w:type="dxa"/>
            <w:shd w:val="clear" w:color="auto" w:fill="D9D9D9"/>
          </w:tcPr>
          <w:p w14:paraId="6C56C78B" w14:textId="77777777" w:rsidR="004D70A6" w:rsidRDefault="00C9062A">
            <w:pPr>
              <w:jc w:val="center"/>
            </w:pPr>
            <w:r>
              <w:t>Parametr/Funkcja</w:t>
            </w:r>
          </w:p>
        </w:tc>
        <w:tc>
          <w:tcPr>
            <w:tcW w:w="6383" w:type="dxa"/>
            <w:shd w:val="clear" w:color="auto" w:fill="D9D9D9"/>
          </w:tcPr>
          <w:p w14:paraId="58320074" w14:textId="77777777" w:rsidR="004D70A6" w:rsidRDefault="00C9062A">
            <w:pPr>
              <w:jc w:val="center"/>
            </w:pPr>
            <w:r>
              <w:t>Opis</w:t>
            </w:r>
          </w:p>
        </w:tc>
      </w:tr>
      <w:tr w:rsidR="004D70A6" w14:paraId="1E7B045F" w14:textId="77777777">
        <w:tc>
          <w:tcPr>
            <w:tcW w:w="460" w:type="dxa"/>
          </w:tcPr>
          <w:p w14:paraId="1B76DAC1" w14:textId="77777777" w:rsidR="004D70A6" w:rsidRDefault="004D70A6"/>
        </w:tc>
        <w:tc>
          <w:tcPr>
            <w:tcW w:w="8602" w:type="dxa"/>
            <w:gridSpan w:val="2"/>
          </w:tcPr>
          <w:p w14:paraId="39B2E153" w14:textId="77777777" w:rsidR="004D70A6" w:rsidRDefault="00C9062A">
            <w:pPr>
              <w:jc w:val="center"/>
              <w:rPr>
                <w:b/>
              </w:rPr>
            </w:pPr>
            <w:r>
              <w:rPr>
                <w:b/>
              </w:rPr>
              <w:t>Parametry ogólne</w:t>
            </w:r>
          </w:p>
        </w:tc>
      </w:tr>
      <w:tr w:rsidR="004D70A6" w14:paraId="53B7950E" w14:textId="77777777">
        <w:tc>
          <w:tcPr>
            <w:tcW w:w="460" w:type="dxa"/>
          </w:tcPr>
          <w:p w14:paraId="70637478" w14:textId="77777777" w:rsidR="004D70A6" w:rsidRDefault="00C9062A">
            <w:r>
              <w:t>1</w:t>
            </w:r>
          </w:p>
        </w:tc>
        <w:tc>
          <w:tcPr>
            <w:tcW w:w="2219" w:type="dxa"/>
          </w:tcPr>
          <w:p w14:paraId="32781622" w14:textId="77777777" w:rsidR="004D70A6" w:rsidRDefault="00C9062A">
            <w:r>
              <w:t>Tryb pracy</w:t>
            </w:r>
          </w:p>
        </w:tc>
        <w:tc>
          <w:tcPr>
            <w:tcW w:w="6383" w:type="dxa"/>
          </w:tcPr>
          <w:p w14:paraId="43F5D79D" w14:textId="77777777" w:rsidR="004D70A6" w:rsidRDefault="00C9062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Automatyczny i półautomatyczny</w:t>
            </w:r>
          </w:p>
          <w:p w14:paraId="495D83E4" w14:textId="77777777" w:rsidR="004D70A6" w:rsidRDefault="00C9062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Komora załadowcza do pojedynczych podłoży oraz przystawek </w:t>
            </w:r>
          </w:p>
          <w:p w14:paraId="2399A436" w14:textId="77777777" w:rsidR="004D70A6" w:rsidRDefault="00C9062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Automatyczny załadunek/rozładunek podłoża/próbki</w:t>
            </w:r>
          </w:p>
          <w:p w14:paraId="583D720C" w14:textId="77777777" w:rsidR="004D70A6" w:rsidRDefault="00C9062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Załadunek przy schłodzonym/gorącym stoliku pomiarowym (hot/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cold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swap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14:paraId="484D2CAC" w14:textId="77777777" w:rsidR="004D70A6" w:rsidRDefault="00C9062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System zapobiegający otwarciu drzwi podczas testu</w:t>
            </w:r>
          </w:p>
        </w:tc>
      </w:tr>
      <w:tr w:rsidR="004D70A6" w14:paraId="4006ED5E" w14:textId="77777777">
        <w:tc>
          <w:tcPr>
            <w:tcW w:w="460" w:type="dxa"/>
          </w:tcPr>
          <w:p w14:paraId="44DE1A5E" w14:textId="77777777" w:rsidR="004D70A6" w:rsidRDefault="00C9062A">
            <w:r>
              <w:t>2</w:t>
            </w:r>
          </w:p>
        </w:tc>
        <w:tc>
          <w:tcPr>
            <w:tcW w:w="2219" w:type="dxa"/>
          </w:tcPr>
          <w:p w14:paraId="17A671A6" w14:textId="77777777" w:rsidR="004D70A6" w:rsidRDefault="00C9062A">
            <w:r>
              <w:t>Wielkość podłoży</w:t>
            </w:r>
          </w:p>
        </w:tc>
        <w:tc>
          <w:tcPr>
            <w:tcW w:w="6383" w:type="dxa"/>
          </w:tcPr>
          <w:p w14:paraId="6762BD8D" w14:textId="77777777" w:rsidR="004D70A6" w:rsidRDefault="00C90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Załadunek i pomiar podłoża o maksymalnej średnicy co najmniej 150 mm</w:t>
            </w:r>
          </w:p>
          <w:p w14:paraId="520EB8AB" w14:textId="77777777" w:rsidR="004D70A6" w:rsidRDefault="00C90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Załadunek i pomiar podłoża nieregularnego o minimalnych wymiarach co najmniej 15 x 15 mm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</w:t>
            </w:r>
          </w:p>
          <w:p w14:paraId="19CF47EC" w14:textId="77777777" w:rsidR="004D70A6" w:rsidRDefault="00C9062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Załadunek i pomiar co najmniej trzech substratów o średnicy nie większej niż 3" z możliwością zastosowania przystawki. </w:t>
            </w:r>
          </w:p>
        </w:tc>
      </w:tr>
      <w:tr w:rsidR="004D70A6" w14:paraId="539B5492" w14:textId="77777777">
        <w:tc>
          <w:tcPr>
            <w:tcW w:w="460" w:type="dxa"/>
          </w:tcPr>
          <w:p w14:paraId="64CD17AC" w14:textId="77777777" w:rsidR="004D70A6" w:rsidRDefault="00C9062A">
            <w:r>
              <w:t>3</w:t>
            </w:r>
          </w:p>
        </w:tc>
        <w:tc>
          <w:tcPr>
            <w:tcW w:w="2219" w:type="dxa"/>
          </w:tcPr>
          <w:p w14:paraId="2B120A3C" w14:textId="77777777" w:rsidR="004D70A6" w:rsidRDefault="00C9062A">
            <w:r>
              <w:t>Rozmiar pól kontaktowych</w:t>
            </w:r>
          </w:p>
        </w:tc>
        <w:tc>
          <w:tcPr>
            <w:tcW w:w="6383" w:type="dxa"/>
          </w:tcPr>
          <w:p w14:paraId="6E1F7716" w14:textId="77777777" w:rsidR="004D70A6" w:rsidRDefault="00C9062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Pomiar pól 25 x 25 µm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i większych</w:t>
            </w:r>
          </w:p>
          <w:p w14:paraId="48287849" w14:textId="77777777" w:rsidR="004D70A6" w:rsidRDefault="00C9062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Odległość między polami co najmniej 30 µm</w:t>
            </w:r>
          </w:p>
        </w:tc>
      </w:tr>
      <w:tr w:rsidR="004D70A6" w14:paraId="0D797D65" w14:textId="77777777">
        <w:tc>
          <w:tcPr>
            <w:tcW w:w="460" w:type="dxa"/>
          </w:tcPr>
          <w:p w14:paraId="09084CE5" w14:textId="77777777" w:rsidR="004D70A6" w:rsidRDefault="00C9062A">
            <w:r>
              <w:t>4</w:t>
            </w:r>
          </w:p>
        </w:tc>
        <w:tc>
          <w:tcPr>
            <w:tcW w:w="2219" w:type="dxa"/>
          </w:tcPr>
          <w:p w14:paraId="1E7A973B" w14:textId="77777777" w:rsidR="004D70A6" w:rsidRDefault="00C9062A">
            <w:r>
              <w:t>Materiał pól kontaktowych</w:t>
            </w:r>
          </w:p>
        </w:tc>
        <w:tc>
          <w:tcPr>
            <w:tcW w:w="6383" w:type="dxa"/>
          </w:tcPr>
          <w:p w14:paraId="60086216" w14:textId="77777777" w:rsidR="004D70A6" w:rsidRDefault="00C906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Ind o grubości 4-7 µm lub</w:t>
            </w:r>
          </w:p>
          <w:p w14:paraId="3CA7D3EA" w14:textId="77777777" w:rsidR="004D70A6" w:rsidRDefault="00C906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≥ 200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złota</w:t>
            </w:r>
          </w:p>
        </w:tc>
      </w:tr>
      <w:tr w:rsidR="004D70A6" w14:paraId="785D041E" w14:textId="77777777">
        <w:tc>
          <w:tcPr>
            <w:tcW w:w="460" w:type="dxa"/>
          </w:tcPr>
          <w:p w14:paraId="08CC46D0" w14:textId="77777777" w:rsidR="004D70A6" w:rsidRDefault="00C9062A">
            <w:r>
              <w:t>5</w:t>
            </w:r>
          </w:p>
        </w:tc>
        <w:tc>
          <w:tcPr>
            <w:tcW w:w="2219" w:type="dxa"/>
          </w:tcPr>
          <w:p w14:paraId="1FC5591B" w14:textId="77777777" w:rsidR="004D70A6" w:rsidRDefault="00C9062A">
            <w:r>
              <w:t xml:space="preserve">EMI/osłona </w:t>
            </w:r>
            <w:proofErr w:type="spellStart"/>
            <w:r>
              <w:t>przeciwszumowa</w:t>
            </w:r>
            <w:proofErr w:type="spellEnd"/>
          </w:p>
        </w:tc>
        <w:tc>
          <w:tcPr>
            <w:tcW w:w="6383" w:type="dxa"/>
          </w:tcPr>
          <w:p w14:paraId="70F8157B" w14:textId="77777777" w:rsidR="004D70A6" w:rsidRDefault="00C906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≥ 30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@ 1 kHz do 1 MHz</w:t>
            </w:r>
          </w:p>
        </w:tc>
      </w:tr>
      <w:tr w:rsidR="004D70A6" w14:paraId="6FCD9162" w14:textId="77777777">
        <w:tc>
          <w:tcPr>
            <w:tcW w:w="460" w:type="dxa"/>
          </w:tcPr>
          <w:p w14:paraId="2373FD98" w14:textId="77777777" w:rsidR="004D70A6" w:rsidRDefault="00C9062A">
            <w:r>
              <w:lastRenderedPageBreak/>
              <w:t>6</w:t>
            </w:r>
          </w:p>
        </w:tc>
        <w:tc>
          <w:tcPr>
            <w:tcW w:w="2219" w:type="dxa"/>
          </w:tcPr>
          <w:p w14:paraId="33D46C16" w14:textId="77777777" w:rsidR="004D70A6" w:rsidRDefault="00C9062A">
            <w:r>
              <w:t>Tłumienie światła</w:t>
            </w:r>
          </w:p>
        </w:tc>
        <w:tc>
          <w:tcPr>
            <w:tcW w:w="6383" w:type="dxa"/>
          </w:tcPr>
          <w:p w14:paraId="774366D9" w14:textId="77777777" w:rsidR="004D70A6" w:rsidRDefault="00C906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≥ 130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</w:p>
        </w:tc>
      </w:tr>
      <w:tr w:rsidR="004D70A6" w14:paraId="3AB23006" w14:textId="77777777">
        <w:tc>
          <w:tcPr>
            <w:tcW w:w="460" w:type="dxa"/>
          </w:tcPr>
          <w:p w14:paraId="3C4F54DD" w14:textId="77777777" w:rsidR="004D70A6" w:rsidRDefault="00C9062A">
            <w:r>
              <w:t>7</w:t>
            </w:r>
          </w:p>
        </w:tc>
        <w:tc>
          <w:tcPr>
            <w:tcW w:w="2219" w:type="dxa"/>
          </w:tcPr>
          <w:p w14:paraId="4A776A4A" w14:textId="77777777" w:rsidR="004D70A6" w:rsidRDefault="00C9062A">
            <w:r>
              <w:t>Dolna granica spektrum szumowego</w:t>
            </w:r>
          </w:p>
        </w:tc>
        <w:tc>
          <w:tcPr>
            <w:tcW w:w="6383" w:type="dxa"/>
          </w:tcPr>
          <w:p w14:paraId="62358813" w14:textId="77777777" w:rsidR="004D70A6" w:rsidRDefault="00C906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≤ -180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dBV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rtHz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(≤ 1 MHz)</w:t>
            </w:r>
          </w:p>
        </w:tc>
      </w:tr>
      <w:tr w:rsidR="004D70A6" w14:paraId="15AD829D" w14:textId="77777777">
        <w:tc>
          <w:tcPr>
            <w:tcW w:w="460" w:type="dxa"/>
          </w:tcPr>
          <w:p w14:paraId="60E917F7" w14:textId="77777777" w:rsidR="004D70A6" w:rsidRDefault="00C9062A">
            <w:r>
              <w:t>8</w:t>
            </w:r>
          </w:p>
        </w:tc>
        <w:tc>
          <w:tcPr>
            <w:tcW w:w="2219" w:type="dxa"/>
          </w:tcPr>
          <w:p w14:paraId="69494B00" w14:textId="77777777" w:rsidR="004D70A6" w:rsidRDefault="00C9062A">
            <w:r>
              <w:t>Szum AC systemu</w:t>
            </w:r>
          </w:p>
        </w:tc>
        <w:tc>
          <w:tcPr>
            <w:tcW w:w="6383" w:type="dxa"/>
          </w:tcPr>
          <w:p w14:paraId="3BCF2AE6" w14:textId="77777777" w:rsidR="004D70A6" w:rsidRDefault="00C906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≤ 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mVp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-p (≤ 1 GHz)</w:t>
            </w:r>
          </w:p>
        </w:tc>
      </w:tr>
      <w:tr w:rsidR="004D70A6" w14:paraId="73BAD47F" w14:textId="77777777">
        <w:tc>
          <w:tcPr>
            <w:tcW w:w="460" w:type="dxa"/>
          </w:tcPr>
          <w:p w14:paraId="3C787855" w14:textId="77777777" w:rsidR="004D70A6" w:rsidRDefault="00C9062A">
            <w:r>
              <w:t>9</w:t>
            </w:r>
          </w:p>
        </w:tc>
        <w:tc>
          <w:tcPr>
            <w:tcW w:w="2219" w:type="dxa"/>
          </w:tcPr>
          <w:p w14:paraId="74AD30AA" w14:textId="77777777" w:rsidR="004D70A6" w:rsidRDefault="00C9062A">
            <w:r>
              <w:t>Aktywna izolacja antywibracyjna</w:t>
            </w:r>
          </w:p>
        </w:tc>
        <w:tc>
          <w:tcPr>
            <w:tcW w:w="6383" w:type="dxa"/>
          </w:tcPr>
          <w:p w14:paraId="3330D727" w14:textId="77777777" w:rsidR="004D70A6" w:rsidRDefault="00C9062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Wibroizolacja z automatyczną regulacją poziomu</w:t>
            </w:r>
          </w:p>
        </w:tc>
      </w:tr>
      <w:tr w:rsidR="004D70A6" w14:paraId="6377E0A8" w14:textId="77777777">
        <w:tc>
          <w:tcPr>
            <w:tcW w:w="460" w:type="dxa"/>
          </w:tcPr>
          <w:p w14:paraId="61770A77" w14:textId="77777777" w:rsidR="004D70A6" w:rsidRDefault="004D70A6"/>
        </w:tc>
        <w:tc>
          <w:tcPr>
            <w:tcW w:w="8602" w:type="dxa"/>
            <w:gridSpan w:val="2"/>
          </w:tcPr>
          <w:p w14:paraId="2ED95AA9" w14:textId="77777777" w:rsidR="004D70A6" w:rsidRDefault="00C9062A">
            <w:pPr>
              <w:jc w:val="center"/>
              <w:rPr>
                <w:b/>
              </w:rPr>
            </w:pPr>
            <w:r>
              <w:rPr>
                <w:b/>
              </w:rPr>
              <w:t>Sondy i mikromanipulatory</w:t>
            </w:r>
          </w:p>
        </w:tc>
      </w:tr>
      <w:tr w:rsidR="004D70A6" w14:paraId="295FAAA6" w14:textId="77777777">
        <w:tc>
          <w:tcPr>
            <w:tcW w:w="460" w:type="dxa"/>
          </w:tcPr>
          <w:p w14:paraId="08F27004" w14:textId="77777777" w:rsidR="004D70A6" w:rsidRDefault="00C9062A">
            <w:r>
              <w:t>10</w:t>
            </w:r>
          </w:p>
        </w:tc>
        <w:tc>
          <w:tcPr>
            <w:tcW w:w="2219" w:type="dxa"/>
          </w:tcPr>
          <w:p w14:paraId="57BFFAE8" w14:textId="77777777" w:rsidR="004D70A6" w:rsidRDefault="00C9062A">
            <w:r>
              <w:t>Igły pomiarowe sond do charakteryzacji I-V</w:t>
            </w:r>
          </w:p>
        </w:tc>
        <w:tc>
          <w:tcPr>
            <w:tcW w:w="6383" w:type="dxa"/>
          </w:tcPr>
          <w:p w14:paraId="7B096B9F" w14:textId="77777777" w:rsidR="004D70A6" w:rsidRDefault="00C9062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Materiał odpowiedni do pomiarów elektrycznych niskooporowych struktur półprzewodnikowych (R = 5 Ω lub więcej) z padami kontaktowymi 200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Au lub Au + 4-7 µm In</w:t>
            </w:r>
          </w:p>
          <w:p w14:paraId="3372AEB2" w14:textId="77777777" w:rsidR="004D70A6" w:rsidRDefault="00C9062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Łatwe do wymiany</w:t>
            </w:r>
          </w:p>
          <w:p w14:paraId="51A4A6EC" w14:textId="77777777" w:rsidR="004D70A6" w:rsidRDefault="00C9062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Średnice odpowiednie dla różnych rozmiarów pól kontaktowych</w:t>
            </w:r>
          </w:p>
          <w:p w14:paraId="34A497C8" w14:textId="77777777" w:rsidR="004D70A6" w:rsidRDefault="00C9062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Ślad igły pomiarowej po pomiarze nie głębszy niż 2 µm dla pól kontaktowych z indem</w:t>
            </w:r>
          </w:p>
        </w:tc>
      </w:tr>
      <w:tr w:rsidR="004D70A6" w14:paraId="377FEEBF" w14:textId="77777777">
        <w:trPr>
          <w:trHeight w:val="937"/>
        </w:trPr>
        <w:tc>
          <w:tcPr>
            <w:tcW w:w="460" w:type="dxa"/>
          </w:tcPr>
          <w:p w14:paraId="562277B9" w14:textId="77777777" w:rsidR="004D70A6" w:rsidRDefault="00C9062A">
            <w:r>
              <w:t>11</w:t>
            </w:r>
          </w:p>
        </w:tc>
        <w:tc>
          <w:tcPr>
            <w:tcW w:w="2219" w:type="dxa"/>
          </w:tcPr>
          <w:p w14:paraId="0357D0BF" w14:textId="77777777" w:rsidR="004D70A6" w:rsidRDefault="00C9062A">
            <w:r>
              <w:t>Sondy do charakteryzacji I-V</w:t>
            </w:r>
          </w:p>
        </w:tc>
        <w:tc>
          <w:tcPr>
            <w:tcW w:w="6383" w:type="dxa"/>
          </w:tcPr>
          <w:p w14:paraId="5AEFEF60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dwie sondy</w:t>
            </w:r>
          </w:p>
          <w:p w14:paraId="41BF145C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Typu Kelvin</w:t>
            </w:r>
          </w:p>
          <w:p w14:paraId="5A7CE922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14" w:hanging="357"/>
            </w:pPr>
            <w:r>
              <w:rPr>
                <w:rFonts w:ascii="Calibri" w:eastAsia="Calibri" w:hAnsi="Calibri" w:cs="Calibri"/>
                <w:color w:val="000000"/>
              </w:rPr>
              <w:t xml:space="preserve">Połączenie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Triax</w:t>
            </w:r>
            <w:proofErr w:type="spellEnd"/>
          </w:p>
          <w:p w14:paraId="0508A3C8" w14:textId="77777777" w:rsidR="004D70A6" w:rsidRDefault="004D70A6"/>
        </w:tc>
      </w:tr>
      <w:tr w:rsidR="004D70A6" w14:paraId="2CEF37B1" w14:textId="77777777">
        <w:tc>
          <w:tcPr>
            <w:tcW w:w="460" w:type="dxa"/>
          </w:tcPr>
          <w:p w14:paraId="41F6ECFA" w14:textId="77777777" w:rsidR="004D70A6" w:rsidRDefault="00C9062A">
            <w:r>
              <w:t>12</w:t>
            </w:r>
          </w:p>
        </w:tc>
        <w:tc>
          <w:tcPr>
            <w:tcW w:w="2219" w:type="dxa"/>
          </w:tcPr>
          <w:p w14:paraId="38EE199F" w14:textId="77777777" w:rsidR="004D70A6" w:rsidRDefault="00C9062A">
            <w:r>
              <w:t>Sonda RF</w:t>
            </w:r>
          </w:p>
        </w:tc>
        <w:tc>
          <w:tcPr>
            <w:tcW w:w="6383" w:type="dxa"/>
          </w:tcPr>
          <w:p w14:paraId="2159CAB2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dwie sondy RF</w:t>
            </w:r>
          </w:p>
          <w:p w14:paraId="0CC1D1A7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30 µm szerokość końcówki pomiarowej</w:t>
            </w:r>
          </w:p>
          <w:p w14:paraId="0294B5FC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smallCaps/>
                <w:color w:val="000000"/>
              </w:rPr>
              <w:t>Ż</w:t>
            </w:r>
            <w:r>
              <w:rPr>
                <w:rFonts w:ascii="Calibri" w:eastAsia="Calibri" w:hAnsi="Calibri" w:cs="Calibri"/>
                <w:color w:val="000000"/>
              </w:rPr>
              <w:t>ywotność styków &gt;1,000,000 cykli</w:t>
            </w:r>
          </w:p>
          <w:p w14:paraId="1E162E82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Rezystancja styku do podłoża Au &lt; 3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mΩ</w:t>
            </w:r>
            <w:proofErr w:type="spellEnd"/>
          </w:p>
          <w:p w14:paraId="54030047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150 µm separacji między końcówkami</w:t>
            </w:r>
          </w:p>
          <w:p w14:paraId="122E867A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Użyteczne pasmo DC do 26 GHz RF</w:t>
            </w:r>
          </w:p>
          <w:p w14:paraId="1DE9B244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Złącze pod kątem 45 stopni</w:t>
            </w:r>
          </w:p>
          <w:p w14:paraId="29689A2B" w14:textId="77777777" w:rsidR="004D70A6" w:rsidRDefault="00C906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Konfiguracja końcówek GSG</w:t>
            </w:r>
          </w:p>
        </w:tc>
      </w:tr>
      <w:tr w:rsidR="004D70A6" w14:paraId="6070DD33" w14:textId="77777777">
        <w:tc>
          <w:tcPr>
            <w:tcW w:w="460" w:type="dxa"/>
          </w:tcPr>
          <w:p w14:paraId="7038537F" w14:textId="77777777" w:rsidR="004D70A6" w:rsidRDefault="00C9062A">
            <w:r>
              <w:t>13</w:t>
            </w:r>
          </w:p>
        </w:tc>
        <w:tc>
          <w:tcPr>
            <w:tcW w:w="2219" w:type="dxa"/>
          </w:tcPr>
          <w:p w14:paraId="3BE812F1" w14:textId="77777777" w:rsidR="004D70A6" w:rsidRDefault="00C9062A">
            <w:r>
              <w:t>Ramiona sond RF</w:t>
            </w:r>
          </w:p>
        </w:tc>
        <w:tc>
          <w:tcPr>
            <w:tcW w:w="6383" w:type="dxa"/>
          </w:tcPr>
          <w:p w14:paraId="512B7F4B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dwa ramiona sond</w:t>
            </w:r>
          </w:p>
          <w:p w14:paraId="0CBF2EA0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Uniwersalne mocowanie sond RF</w:t>
            </w:r>
          </w:p>
          <w:p w14:paraId="1D6C6374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Precyzyjne ustawienie planarności sondy RF przez zastosowanie dokładnej śruby mikrometrycznej</w:t>
            </w:r>
          </w:p>
          <w:p w14:paraId="62301CE0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Szybka 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beznarzędziowa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regulacja wysokości w pionie za pomocą wbudowanej skali mm</w:t>
            </w:r>
          </w:p>
          <w:p w14:paraId="6AD09F01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Prowadnica przewodu współosiowego RF </w:t>
            </w:r>
          </w:p>
        </w:tc>
      </w:tr>
      <w:tr w:rsidR="004D70A6" w14:paraId="2368DB65" w14:textId="77777777">
        <w:tc>
          <w:tcPr>
            <w:tcW w:w="460" w:type="dxa"/>
          </w:tcPr>
          <w:p w14:paraId="64E2E6D6" w14:textId="77777777" w:rsidR="004D70A6" w:rsidRDefault="00C9062A">
            <w:r>
              <w:t>14</w:t>
            </w:r>
          </w:p>
        </w:tc>
        <w:tc>
          <w:tcPr>
            <w:tcW w:w="2219" w:type="dxa"/>
          </w:tcPr>
          <w:p w14:paraId="6FBE7C80" w14:textId="77777777" w:rsidR="004D70A6" w:rsidRDefault="00C9062A">
            <w:r>
              <w:t>Mikromanipulatory</w:t>
            </w:r>
          </w:p>
        </w:tc>
        <w:tc>
          <w:tcPr>
            <w:tcW w:w="6383" w:type="dxa"/>
          </w:tcPr>
          <w:p w14:paraId="79BB35C1" w14:textId="77777777" w:rsidR="004D70A6" w:rsidRDefault="00C9062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dwa dla charakteryzacji I-V</w:t>
            </w:r>
          </w:p>
          <w:p w14:paraId="1E0A25AD" w14:textId="77777777" w:rsidR="004D70A6" w:rsidRDefault="00C9062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dwa dla ramion sond RF</w:t>
            </w:r>
          </w:p>
          <w:p w14:paraId="06541B5E" w14:textId="77777777" w:rsidR="004D70A6" w:rsidRDefault="00C9062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Ręczne lub automatyczne</w:t>
            </w:r>
          </w:p>
          <w:p w14:paraId="63AA9D7E" w14:textId="77777777" w:rsidR="004D70A6" w:rsidRDefault="00C9062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Montaż magnetyczny</w:t>
            </w:r>
          </w:p>
        </w:tc>
      </w:tr>
      <w:tr w:rsidR="004D70A6" w14:paraId="34D9F84F" w14:textId="77777777">
        <w:tc>
          <w:tcPr>
            <w:tcW w:w="460" w:type="dxa"/>
          </w:tcPr>
          <w:p w14:paraId="08B56565" w14:textId="77777777" w:rsidR="004D70A6" w:rsidRDefault="004D70A6"/>
        </w:tc>
        <w:tc>
          <w:tcPr>
            <w:tcW w:w="8602" w:type="dxa"/>
            <w:gridSpan w:val="2"/>
          </w:tcPr>
          <w:p w14:paraId="31FF93E8" w14:textId="77777777" w:rsidR="004D70A6" w:rsidRDefault="00C9062A">
            <w:pPr>
              <w:jc w:val="center"/>
              <w:rPr>
                <w:b/>
              </w:rPr>
            </w:pPr>
            <w:r>
              <w:rPr>
                <w:b/>
              </w:rPr>
              <w:t>Stolik stacji pomiarowej</w:t>
            </w:r>
          </w:p>
        </w:tc>
      </w:tr>
      <w:tr w:rsidR="004D70A6" w14:paraId="2C5219E9" w14:textId="77777777">
        <w:tc>
          <w:tcPr>
            <w:tcW w:w="460" w:type="dxa"/>
          </w:tcPr>
          <w:p w14:paraId="2917BE0D" w14:textId="77777777" w:rsidR="004D70A6" w:rsidRDefault="00C9062A">
            <w:r>
              <w:t>15</w:t>
            </w:r>
          </w:p>
        </w:tc>
        <w:tc>
          <w:tcPr>
            <w:tcW w:w="2219" w:type="dxa"/>
          </w:tcPr>
          <w:p w14:paraId="0EE2B9EA" w14:textId="77777777" w:rsidR="004D70A6" w:rsidRDefault="00C9062A">
            <w:r>
              <w:t>Zakres przesuwu XY</w:t>
            </w:r>
          </w:p>
        </w:tc>
        <w:tc>
          <w:tcPr>
            <w:tcW w:w="6383" w:type="dxa"/>
          </w:tcPr>
          <w:p w14:paraId="2B02FA89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200 mm x 200 mm</w:t>
            </w:r>
          </w:p>
        </w:tc>
      </w:tr>
      <w:tr w:rsidR="004D70A6" w14:paraId="6233A57D" w14:textId="77777777">
        <w:tc>
          <w:tcPr>
            <w:tcW w:w="460" w:type="dxa"/>
          </w:tcPr>
          <w:p w14:paraId="64B8C5B3" w14:textId="77777777" w:rsidR="004D70A6" w:rsidRDefault="00C9062A">
            <w:r>
              <w:t>16</w:t>
            </w:r>
          </w:p>
        </w:tc>
        <w:tc>
          <w:tcPr>
            <w:tcW w:w="2219" w:type="dxa"/>
          </w:tcPr>
          <w:p w14:paraId="1F855DDD" w14:textId="77777777" w:rsidR="004D70A6" w:rsidRDefault="00C9062A">
            <w:r>
              <w:t>Rozdzielczość XY</w:t>
            </w:r>
          </w:p>
        </w:tc>
        <w:tc>
          <w:tcPr>
            <w:tcW w:w="6383" w:type="dxa"/>
          </w:tcPr>
          <w:p w14:paraId="5A6EA819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0,5 µm</w:t>
            </w:r>
          </w:p>
        </w:tc>
      </w:tr>
      <w:tr w:rsidR="004D70A6" w14:paraId="5A12B49F" w14:textId="77777777">
        <w:tc>
          <w:tcPr>
            <w:tcW w:w="460" w:type="dxa"/>
          </w:tcPr>
          <w:p w14:paraId="7260A784" w14:textId="77777777" w:rsidR="004D70A6" w:rsidRDefault="00C9062A">
            <w:r>
              <w:t>17</w:t>
            </w:r>
          </w:p>
        </w:tc>
        <w:tc>
          <w:tcPr>
            <w:tcW w:w="2219" w:type="dxa"/>
          </w:tcPr>
          <w:p w14:paraId="01075D81" w14:textId="77777777" w:rsidR="004D70A6" w:rsidRDefault="00C9062A">
            <w:r>
              <w:t>Dokładność XY</w:t>
            </w:r>
          </w:p>
        </w:tc>
        <w:tc>
          <w:tcPr>
            <w:tcW w:w="6383" w:type="dxa"/>
          </w:tcPr>
          <w:p w14:paraId="129ADCBB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± 2 µm</w:t>
            </w:r>
          </w:p>
        </w:tc>
      </w:tr>
      <w:tr w:rsidR="004D70A6" w14:paraId="16AAAC66" w14:textId="77777777">
        <w:tc>
          <w:tcPr>
            <w:tcW w:w="460" w:type="dxa"/>
          </w:tcPr>
          <w:p w14:paraId="1AA81011" w14:textId="77777777" w:rsidR="004D70A6" w:rsidRDefault="00C9062A">
            <w:r>
              <w:t>18</w:t>
            </w:r>
          </w:p>
        </w:tc>
        <w:tc>
          <w:tcPr>
            <w:tcW w:w="2219" w:type="dxa"/>
          </w:tcPr>
          <w:p w14:paraId="3C7D254E" w14:textId="77777777" w:rsidR="004D70A6" w:rsidRDefault="00C9062A">
            <w:r>
              <w:t>Powtarzalność XY</w:t>
            </w:r>
          </w:p>
        </w:tc>
        <w:tc>
          <w:tcPr>
            <w:tcW w:w="6383" w:type="dxa"/>
          </w:tcPr>
          <w:p w14:paraId="280D05F7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± 2 µm</w:t>
            </w:r>
          </w:p>
        </w:tc>
      </w:tr>
      <w:tr w:rsidR="004D70A6" w14:paraId="58F12C31" w14:textId="77777777">
        <w:tc>
          <w:tcPr>
            <w:tcW w:w="460" w:type="dxa"/>
          </w:tcPr>
          <w:p w14:paraId="2CA48C76" w14:textId="77777777" w:rsidR="004D70A6" w:rsidRDefault="00C9062A">
            <w:r>
              <w:t>19</w:t>
            </w:r>
          </w:p>
        </w:tc>
        <w:tc>
          <w:tcPr>
            <w:tcW w:w="2219" w:type="dxa"/>
          </w:tcPr>
          <w:p w14:paraId="3FAD68AE" w14:textId="77777777" w:rsidR="004D70A6" w:rsidRDefault="00C9062A">
            <w:r>
              <w:t>Prędkość XY</w:t>
            </w:r>
          </w:p>
        </w:tc>
        <w:tc>
          <w:tcPr>
            <w:tcW w:w="6383" w:type="dxa"/>
          </w:tcPr>
          <w:p w14:paraId="7A959E91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Regulowana prędkość obrotowa przy najwolniejszym biegu ≤ 10 µm/s, najszybszym biegu ≥ 50 mm/s</w:t>
            </w:r>
          </w:p>
        </w:tc>
      </w:tr>
      <w:tr w:rsidR="004D70A6" w14:paraId="55825683" w14:textId="77777777">
        <w:tc>
          <w:tcPr>
            <w:tcW w:w="460" w:type="dxa"/>
          </w:tcPr>
          <w:p w14:paraId="37393608" w14:textId="77777777" w:rsidR="004D70A6" w:rsidRDefault="00C9062A">
            <w:r>
              <w:t>20</w:t>
            </w:r>
          </w:p>
        </w:tc>
        <w:tc>
          <w:tcPr>
            <w:tcW w:w="2219" w:type="dxa"/>
          </w:tcPr>
          <w:p w14:paraId="28DAAFC4" w14:textId="77777777" w:rsidR="004D70A6" w:rsidRDefault="00C9062A">
            <w:r>
              <w:t>Zakres przesuwu Z</w:t>
            </w:r>
          </w:p>
        </w:tc>
        <w:tc>
          <w:tcPr>
            <w:tcW w:w="6383" w:type="dxa"/>
          </w:tcPr>
          <w:p w14:paraId="6895CA64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50 mm</w:t>
            </w:r>
          </w:p>
        </w:tc>
      </w:tr>
      <w:tr w:rsidR="004D70A6" w14:paraId="73922F3E" w14:textId="77777777">
        <w:tc>
          <w:tcPr>
            <w:tcW w:w="460" w:type="dxa"/>
          </w:tcPr>
          <w:p w14:paraId="043DC6EC" w14:textId="77777777" w:rsidR="004D70A6" w:rsidRDefault="00C9062A">
            <w:r>
              <w:t>21</w:t>
            </w:r>
          </w:p>
        </w:tc>
        <w:tc>
          <w:tcPr>
            <w:tcW w:w="2219" w:type="dxa"/>
          </w:tcPr>
          <w:p w14:paraId="5104EB5A" w14:textId="77777777" w:rsidR="004D70A6" w:rsidRDefault="00C9062A">
            <w:r>
              <w:t>Rozdzielczość Z</w:t>
            </w:r>
          </w:p>
        </w:tc>
        <w:tc>
          <w:tcPr>
            <w:tcW w:w="6383" w:type="dxa"/>
          </w:tcPr>
          <w:p w14:paraId="44C5CE8F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0,2 µm</w:t>
            </w:r>
          </w:p>
        </w:tc>
      </w:tr>
      <w:tr w:rsidR="004D70A6" w14:paraId="498555A1" w14:textId="77777777">
        <w:tc>
          <w:tcPr>
            <w:tcW w:w="460" w:type="dxa"/>
          </w:tcPr>
          <w:p w14:paraId="4A2B61EC" w14:textId="77777777" w:rsidR="004D70A6" w:rsidRDefault="00C9062A">
            <w:r>
              <w:t>22</w:t>
            </w:r>
          </w:p>
        </w:tc>
        <w:tc>
          <w:tcPr>
            <w:tcW w:w="2219" w:type="dxa"/>
          </w:tcPr>
          <w:p w14:paraId="7D587312" w14:textId="77777777" w:rsidR="004D70A6" w:rsidRDefault="00C9062A">
            <w:r>
              <w:t>Dokładność Z</w:t>
            </w:r>
          </w:p>
        </w:tc>
        <w:tc>
          <w:tcPr>
            <w:tcW w:w="6383" w:type="dxa"/>
          </w:tcPr>
          <w:p w14:paraId="45437FA9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± 2 µm</w:t>
            </w:r>
          </w:p>
        </w:tc>
      </w:tr>
      <w:tr w:rsidR="004D70A6" w14:paraId="6C2F863F" w14:textId="77777777">
        <w:tc>
          <w:tcPr>
            <w:tcW w:w="460" w:type="dxa"/>
          </w:tcPr>
          <w:p w14:paraId="1B32D629" w14:textId="77777777" w:rsidR="004D70A6" w:rsidRDefault="00C9062A">
            <w:r>
              <w:t>23</w:t>
            </w:r>
          </w:p>
        </w:tc>
        <w:tc>
          <w:tcPr>
            <w:tcW w:w="2219" w:type="dxa"/>
          </w:tcPr>
          <w:p w14:paraId="084EA01D" w14:textId="77777777" w:rsidR="004D70A6" w:rsidRDefault="00C9062A">
            <w:r>
              <w:t>Powtarzalność Z</w:t>
            </w:r>
          </w:p>
        </w:tc>
        <w:tc>
          <w:tcPr>
            <w:tcW w:w="6383" w:type="dxa"/>
          </w:tcPr>
          <w:p w14:paraId="4B613B5F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± 1 µm</w:t>
            </w:r>
          </w:p>
        </w:tc>
      </w:tr>
      <w:tr w:rsidR="004D70A6" w14:paraId="06212F42" w14:textId="77777777">
        <w:tc>
          <w:tcPr>
            <w:tcW w:w="460" w:type="dxa"/>
          </w:tcPr>
          <w:p w14:paraId="763E1DD0" w14:textId="77777777" w:rsidR="004D70A6" w:rsidRDefault="00C9062A">
            <w:r>
              <w:t>24</w:t>
            </w:r>
          </w:p>
        </w:tc>
        <w:tc>
          <w:tcPr>
            <w:tcW w:w="2219" w:type="dxa"/>
          </w:tcPr>
          <w:p w14:paraId="480AA960" w14:textId="77777777" w:rsidR="004D70A6" w:rsidRDefault="00C9062A">
            <w:r>
              <w:t>Prędkość Z</w:t>
            </w:r>
          </w:p>
        </w:tc>
        <w:tc>
          <w:tcPr>
            <w:tcW w:w="6383" w:type="dxa"/>
          </w:tcPr>
          <w:p w14:paraId="5C10A89B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Regulowana prędkość obrotowa przy najwolniejszym biegu ≤ 10 µm/s, najszybszym biegu ≥ 4 mm/s</w:t>
            </w:r>
          </w:p>
        </w:tc>
      </w:tr>
      <w:tr w:rsidR="004D70A6" w14:paraId="35A61AD1" w14:textId="77777777">
        <w:tc>
          <w:tcPr>
            <w:tcW w:w="460" w:type="dxa"/>
          </w:tcPr>
          <w:p w14:paraId="421EAE80" w14:textId="77777777" w:rsidR="004D70A6" w:rsidRDefault="00C9062A">
            <w:r>
              <w:t>25</w:t>
            </w:r>
          </w:p>
        </w:tc>
        <w:tc>
          <w:tcPr>
            <w:tcW w:w="2219" w:type="dxa"/>
          </w:tcPr>
          <w:p w14:paraId="2E192ED5" w14:textId="77777777" w:rsidR="004D70A6" w:rsidRDefault="00C9062A">
            <w:r>
              <w:t xml:space="preserve">Zakres obrotu </w:t>
            </w:r>
            <w:proofErr w:type="spellStart"/>
            <w:r>
              <w:t>theta</w:t>
            </w:r>
            <w:proofErr w:type="spellEnd"/>
          </w:p>
        </w:tc>
        <w:tc>
          <w:tcPr>
            <w:tcW w:w="6383" w:type="dxa"/>
          </w:tcPr>
          <w:p w14:paraId="17265C0D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± 6°</w:t>
            </w:r>
          </w:p>
        </w:tc>
      </w:tr>
      <w:tr w:rsidR="004D70A6" w14:paraId="605C6EC4" w14:textId="77777777">
        <w:tc>
          <w:tcPr>
            <w:tcW w:w="460" w:type="dxa"/>
          </w:tcPr>
          <w:p w14:paraId="405F9154" w14:textId="77777777" w:rsidR="004D70A6" w:rsidRDefault="00C9062A">
            <w:r>
              <w:t>26</w:t>
            </w:r>
          </w:p>
        </w:tc>
        <w:tc>
          <w:tcPr>
            <w:tcW w:w="2219" w:type="dxa"/>
          </w:tcPr>
          <w:p w14:paraId="2D570F58" w14:textId="77777777" w:rsidR="004D70A6" w:rsidRDefault="00C9062A">
            <w:r>
              <w:t xml:space="preserve">Rozdzielczość </w:t>
            </w:r>
            <w:proofErr w:type="spellStart"/>
            <w:r>
              <w:t>theta</w:t>
            </w:r>
            <w:proofErr w:type="spellEnd"/>
          </w:p>
        </w:tc>
        <w:tc>
          <w:tcPr>
            <w:tcW w:w="6383" w:type="dxa"/>
          </w:tcPr>
          <w:p w14:paraId="7FF475E9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0.0004°</w:t>
            </w:r>
          </w:p>
        </w:tc>
      </w:tr>
      <w:tr w:rsidR="004D70A6" w14:paraId="43E619A8" w14:textId="77777777">
        <w:tc>
          <w:tcPr>
            <w:tcW w:w="460" w:type="dxa"/>
          </w:tcPr>
          <w:p w14:paraId="5512509C" w14:textId="77777777" w:rsidR="004D70A6" w:rsidRDefault="00C9062A">
            <w:r>
              <w:t>27</w:t>
            </w:r>
          </w:p>
        </w:tc>
        <w:tc>
          <w:tcPr>
            <w:tcW w:w="2219" w:type="dxa"/>
          </w:tcPr>
          <w:p w14:paraId="3AAB50BB" w14:textId="77777777" w:rsidR="004D70A6" w:rsidRDefault="00C9062A">
            <w:r>
              <w:t xml:space="preserve">Dokładność </w:t>
            </w:r>
            <w:proofErr w:type="spellStart"/>
            <w:r>
              <w:t>Theta</w:t>
            </w:r>
            <w:proofErr w:type="spellEnd"/>
          </w:p>
        </w:tc>
        <w:tc>
          <w:tcPr>
            <w:tcW w:w="6383" w:type="dxa"/>
          </w:tcPr>
          <w:p w14:paraId="5944EA87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≤ 2,0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μm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(mierzone na krawędzi stolika 200 mm)</w:t>
            </w:r>
          </w:p>
        </w:tc>
      </w:tr>
      <w:tr w:rsidR="004D70A6" w14:paraId="14E6CBAD" w14:textId="77777777">
        <w:tc>
          <w:tcPr>
            <w:tcW w:w="460" w:type="dxa"/>
          </w:tcPr>
          <w:p w14:paraId="6D7308FC" w14:textId="77777777" w:rsidR="004D70A6" w:rsidRDefault="00C9062A">
            <w:r>
              <w:t>28</w:t>
            </w:r>
          </w:p>
        </w:tc>
        <w:tc>
          <w:tcPr>
            <w:tcW w:w="2219" w:type="dxa"/>
          </w:tcPr>
          <w:p w14:paraId="712CAC45" w14:textId="77777777" w:rsidR="004D70A6" w:rsidRDefault="00C9062A">
            <w:r>
              <w:t xml:space="preserve">Powtarzalność </w:t>
            </w:r>
            <w:proofErr w:type="spellStart"/>
            <w:r>
              <w:t>theta</w:t>
            </w:r>
            <w:proofErr w:type="spellEnd"/>
          </w:p>
        </w:tc>
        <w:tc>
          <w:tcPr>
            <w:tcW w:w="6383" w:type="dxa"/>
          </w:tcPr>
          <w:p w14:paraId="59D9D5AA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1 µm</w:t>
            </w:r>
          </w:p>
        </w:tc>
      </w:tr>
      <w:tr w:rsidR="004D70A6" w14:paraId="79B1C91D" w14:textId="77777777">
        <w:tc>
          <w:tcPr>
            <w:tcW w:w="460" w:type="dxa"/>
          </w:tcPr>
          <w:p w14:paraId="75207B6B" w14:textId="77777777" w:rsidR="004D70A6" w:rsidRDefault="004D70A6"/>
        </w:tc>
        <w:tc>
          <w:tcPr>
            <w:tcW w:w="8602" w:type="dxa"/>
            <w:gridSpan w:val="2"/>
          </w:tcPr>
          <w:p w14:paraId="7A2BB453" w14:textId="77777777" w:rsidR="004D70A6" w:rsidRDefault="00C9062A">
            <w:pPr>
              <w:jc w:val="center"/>
              <w:rPr>
                <w:b/>
              </w:rPr>
            </w:pPr>
            <w:r>
              <w:rPr>
                <w:b/>
              </w:rPr>
              <w:t>System wizualny</w:t>
            </w:r>
          </w:p>
        </w:tc>
      </w:tr>
      <w:tr w:rsidR="004D70A6" w14:paraId="12E3181D" w14:textId="77777777">
        <w:tc>
          <w:tcPr>
            <w:tcW w:w="460" w:type="dxa"/>
          </w:tcPr>
          <w:p w14:paraId="347D4C35" w14:textId="77777777" w:rsidR="004D70A6" w:rsidRDefault="00C9062A">
            <w:r>
              <w:t>29</w:t>
            </w:r>
          </w:p>
        </w:tc>
        <w:tc>
          <w:tcPr>
            <w:tcW w:w="2219" w:type="dxa"/>
          </w:tcPr>
          <w:p w14:paraId="45E14BAB" w14:textId="77777777" w:rsidR="004D70A6" w:rsidRDefault="00C9062A">
            <w:r>
              <w:t>Kamera widoku z boku</w:t>
            </w:r>
          </w:p>
        </w:tc>
        <w:tc>
          <w:tcPr>
            <w:tcW w:w="6383" w:type="dxa"/>
          </w:tcPr>
          <w:p w14:paraId="6F20C4B9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Typ CCD</w:t>
            </w:r>
          </w:p>
          <w:p w14:paraId="5727D2BC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3 MP</w:t>
            </w:r>
          </w:p>
          <w:p w14:paraId="2DCC54EF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Odpowiednia się do wertykalnego ustawienia sondy na podłożu</w:t>
            </w:r>
          </w:p>
        </w:tc>
      </w:tr>
      <w:tr w:rsidR="004D70A6" w14:paraId="7142558C" w14:textId="77777777">
        <w:tc>
          <w:tcPr>
            <w:tcW w:w="460" w:type="dxa"/>
          </w:tcPr>
          <w:p w14:paraId="2D20C85C" w14:textId="77777777" w:rsidR="004D70A6" w:rsidRDefault="00C9062A">
            <w:r>
              <w:t>30</w:t>
            </w:r>
          </w:p>
        </w:tc>
        <w:tc>
          <w:tcPr>
            <w:tcW w:w="2219" w:type="dxa"/>
          </w:tcPr>
          <w:p w14:paraId="5DB33142" w14:textId="77777777" w:rsidR="004D70A6" w:rsidRDefault="00C9062A">
            <w:r>
              <w:t>Kamera do centrowania podłoży</w:t>
            </w:r>
          </w:p>
        </w:tc>
        <w:tc>
          <w:tcPr>
            <w:tcW w:w="6383" w:type="dxa"/>
          </w:tcPr>
          <w:p w14:paraId="3E75A7E3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Typ CCD</w:t>
            </w:r>
          </w:p>
          <w:p w14:paraId="42B6936B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6 MP</w:t>
            </w:r>
          </w:p>
        </w:tc>
      </w:tr>
      <w:tr w:rsidR="004D70A6" w14:paraId="6DCC1D2F" w14:textId="77777777">
        <w:tc>
          <w:tcPr>
            <w:tcW w:w="460" w:type="dxa"/>
          </w:tcPr>
          <w:p w14:paraId="18D8C85C" w14:textId="77777777" w:rsidR="004D70A6" w:rsidRDefault="00C9062A">
            <w:r>
              <w:t>31</w:t>
            </w:r>
          </w:p>
        </w:tc>
        <w:tc>
          <w:tcPr>
            <w:tcW w:w="2219" w:type="dxa"/>
          </w:tcPr>
          <w:p w14:paraId="4F8B257F" w14:textId="77777777" w:rsidR="004D70A6" w:rsidRDefault="00C9062A">
            <w:r>
              <w:t>Zakres przesuwu mikroskopu XY</w:t>
            </w:r>
          </w:p>
        </w:tc>
        <w:tc>
          <w:tcPr>
            <w:tcW w:w="6383" w:type="dxa"/>
          </w:tcPr>
          <w:p w14:paraId="282A5C32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Zakres co najmniej 25 x 25 mm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</w:t>
            </w:r>
          </w:p>
          <w:p w14:paraId="7C1FA295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Rozdzielczość ≤ 1 µm</w:t>
            </w:r>
          </w:p>
          <w:p w14:paraId="64AD25B6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Powtarzalność ≤ 2 µm</w:t>
            </w:r>
          </w:p>
          <w:p w14:paraId="618CB36C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Dokładność ≤ 5 µm</w:t>
            </w:r>
          </w:p>
        </w:tc>
      </w:tr>
      <w:tr w:rsidR="004D70A6" w14:paraId="0140D46B" w14:textId="77777777">
        <w:tc>
          <w:tcPr>
            <w:tcW w:w="460" w:type="dxa"/>
          </w:tcPr>
          <w:p w14:paraId="4A8883F1" w14:textId="77777777" w:rsidR="004D70A6" w:rsidRDefault="00C9062A">
            <w:r>
              <w:lastRenderedPageBreak/>
              <w:t>32</w:t>
            </w:r>
          </w:p>
        </w:tc>
        <w:tc>
          <w:tcPr>
            <w:tcW w:w="2219" w:type="dxa"/>
          </w:tcPr>
          <w:p w14:paraId="723A95BB" w14:textId="77777777" w:rsidR="004D70A6" w:rsidRDefault="00C9062A">
            <w:r>
              <w:t>Zakres przesuwu mikroskopu Z</w:t>
            </w:r>
          </w:p>
        </w:tc>
        <w:tc>
          <w:tcPr>
            <w:tcW w:w="6383" w:type="dxa"/>
          </w:tcPr>
          <w:p w14:paraId="4C8F1753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Zakres ≥ 140 mm</w:t>
            </w:r>
          </w:p>
          <w:p w14:paraId="287EB6AD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Rozdzielczość ≤ 0,05 µm</w:t>
            </w:r>
          </w:p>
          <w:p w14:paraId="2032D76D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Powtarzalność ≤ 2 µm</w:t>
            </w:r>
          </w:p>
          <w:p w14:paraId="597F3C80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Dokładność ≤ 4 µm</w:t>
            </w:r>
          </w:p>
        </w:tc>
      </w:tr>
      <w:tr w:rsidR="004D70A6" w14:paraId="095B80F8" w14:textId="77777777">
        <w:tc>
          <w:tcPr>
            <w:tcW w:w="460" w:type="dxa"/>
          </w:tcPr>
          <w:p w14:paraId="2F21BF26" w14:textId="77777777" w:rsidR="004D70A6" w:rsidRDefault="00C9062A">
            <w:r>
              <w:t>33</w:t>
            </w:r>
          </w:p>
        </w:tc>
        <w:tc>
          <w:tcPr>
            <w:tcW w:w="2219" w:type="dxa"/>
          </w:tcPr>
          <w:p w14:paraId="3CAEEA13" w14:textId="77777777" w:rsidR="004D70A6" w:rsidRDefault="00C9062A">
            <w:r>
              <w:t>Powiększenia obiektywów mikroskopu</w:t>
            </w:r>
          </w:p>
        </w:tc>
        <w:tc>
          <w:tcPr>
            <w:tcW w:w="6383" w:type="dxa"/>
          </w:tcPr>
          <w:p w14:paraId="1D56B502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2x, </w:t>
            </w:r>
          </w:p>
          <w:p w14:paraId="226ABE48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5x, </w:t>
            </w:r>
          </w:p>
          <w:p w14:paraId="74129E9A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10x</w:t>
            </w:r>
          </w:p>
        </w:tc>
      </w:tr>
      <w:tr w:rsidR="004D70A6" w14:paraId="5BAD80B4" w14:textId="77777777">
        <w:tc>
          <w:tcPr>
            <w:tcW w:w="460" w:type="dxa"/>
          </w:tcPr>
          <w:p w14:paraId="166F69DC" w14:textId="77777777" w:rsidR="004D70A6" w:rsidRDefault="00C9062A">
            <w:r>
              <w:t>34</w:t>
            </w:r>
          </w:p>
        </w:tc>
        <w:tc>
          <w:tcPr>
            <w:tcW w:w="2219" w:type="dxa"/>
          </w:tcPr>
          <w:p w14:paraId="4B3CE680" w14:textId="77777777" w:rsidR="004D70A6" w:rsidRDefault="00C9062A">
            <w:r>
              <w:t>Wykrywanie typu obiektywu</w:t>
            </w:r>
          </w:p>
        </w:tc>
        <w:tc>
          <w:tcPr>
            <w:tcW w:w="6383" w:type="dxa"/>
          </w:tcPr>
          <w:p w14:paraId="7A63A492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Automatyczne wykrywanie powiększenia obiektywu</w:t>
            </w:r>
          </w:p>
        </w:tc>
      </w:tr>
      <w:tr w:rsidR="004D70A6" w14:paraId="26DEE4D6" w14:textId="77777777">
        <w:tc>
          <w:tcPr>
            <w:tcW w:w="460" w:type="dxa"/>
          </w:tcPr>
          <w:p w14:paraId="2A2F6969" w14:textId="77777777" w:rsidR="004D70A6" w:rsidRDefault="004D70A6"/>
        </w:tc>
        <w:tc>
          <w:tcPr>
            <w:tcW w:w="8602" w:type="dxa"/>
            <w:gridSpan w:val="2"/>
          </w:tcPr>
          <w:p w14:paraId="77EBA9D2" w14:textId="77777777" w:rsidR="004D70A6" w:rsidRDefault="00C9062A">
            <w:pPr>
              <w:jc w:val="center"/>
              <w:rPr>
                <w:b/>
              </w:rPr>
            </w:pPr>
            <w:r>
              <w:rPr>
                <w:b/>
              </w:rPr>
              <w:t>Płyta montażowa na sondy</w:t>
            </w:r>
          </w:p>
        </w:tc>
      </w:tr>
      <w:tr w:rsidR="004D70A6" w14:paraId="4BC1FEDA" w14:textId="77777777">
        <w:tc>
          <w:tcPr>
            <w:tcW w:w="460" w:type="dxa"/>
          </w:tcPr>
          <w:p w14:paraId="4FFDAFD8" w14:textId="77777777" w:rsidR="004D70A6" w:rsidRDefault="00C9062A">
            <w:r>
              <w:t>35</w:t>
            </w:r>
          </w:p>
        </w:tc>
        <w:tc>
          <w:tcPr>
            <w:tcW w:w="2219" w:type="dxa"/>
          </w:tcPr>
          <w:p w14:paraId="524FE3F5" w14:textId="77777777" w:rsidR="004D70A6" w:rsidRDefault="00C9062A">
            <w:r>
              <w:t>Materiał</w:t>
            </w:r>
          </w:p>
        </w:tc>
        <w:tc>
          <w:tcPr>
            <w:tcW w:w="6383" w:type="dxa"/>
          </w:tcPr>
          <w:p w14:paraId="5DE91CD2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Stal nierdzewna lub stal platerowana</w:t>
            </w:r>
          </w:p>
          <w:p w14:paraId="530396EE" w14:textId="77777777" w:rsidR="004D70A6" w:rsidRDefault="00C906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Stabilizowana termicznie</w:t>
            </w:r>
          </w:p>
        </w:tc>
      </w:tr>
      <w:tr w:rsidR="004D70A6" w14:paraId="7FE15788" w14:textId="77777777">
        <w:tc>
          <w:tcPr>
            <w:tcW w:w="460" w:type="dxa"/>
          </w:tcPr>
          <w:p w14:paraId="6C5ADB97" w14:textId="77777777" w:rsidR="004D70A6" w:rsidRDefault="00C9062A">
            <w:r>
              <w:t>36</w:t>
            </w:r>
          </w:p>
        </w:tc>
        <w:tc>
          <w:tcPr>
            <w:tcW w:w="2219" w:type="dxa"/>
          </w:tcPr>
          <w:p w14:paraId="74A72D5C" w14:textId="77777777" w:rsidR="004D70A6" w:rsidRDefault="00C9062A">
            <w:r>
              <w:t xml:space="preserve">Liczba </w:t>
            </w:r>
            <w:proofErr w:type="spellStart"/>
            <w:r>
              <w:t>mikropozycjonerów</w:t>
            </w:r>
            <w:proofErr w:type="spellEnd"/>
            <w:r>
              <w:t xml:space="preserve"> </w:t>
            </w:r>
          </w:p>
        </w:tc>
        <w:tc>
          <w:tcPr>
            <w:tcW w:w="6383" w:type="dxa"/>
          </w:tcPr>
          <w:p w14:paraId="4C8405DA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3 miejsca</w:t>
            </w:r>
          </w:p>
        </w:tc>
      </w:tr>
      <w:tr w:rsidR="004D70A6" w14:paraId="7831F592" w14:textId="77777777">
        <w:tc>
          <w:tcPr>
            <w:tcW w:w="460" w:type="dxa"/>
          </w:tcPr>
          <w:p w14:paraId="02E7E65C" w14:textId="77777777" w:rsidR="004D70A6" w:rsidRDefault="004D70A6"/>
        </w:tc>
        <w:tc>
          <w:tcPr>
            <w:tcW w:w="8602" w:type="dxa"/>
            <w:gridSpan w:val="2"/>
          </w:tcPr>
          <w:p w14:paraId="157D04E8" w14:textId="77777777" w:rsidR="004D70A6" w:rsidRDefault="00C9062A">
            <w:pPr>
              <w:jc w:val="center"/>
              <w:rPr>
                <w:b/>
              </w:rPr>
            </w:pPr>
            <w:r>
              <w:rPr>
                <w:b/>
              </w:rPr>
              <w:t>Kontrola temperatury</w:t>
            </w:r>
          </w:p>
        </w:tc>
      </w:tr>
      <w:tr w:rsidR="004D70A6" w14:paraId="4BC832A2" w14:textId="77777777">
        <w:tc>
          <w:tcPr>
            <w:tcW w:w="460" w:type="dxa"/>
          </w:tcPr>
          <w:p w14:paraId="2FA6E936" w14:textId="77777777" w:rsidR="004D70A6" w:rsidRDefault="00C9062A">
            <w:r>
              <w:t>37</w:t>
            </w:r>
          </w:p>
        </w:tc>
        <w:tc>
          <w:tcPr>
            <w:tcW w:w="2219" w:type="dxa"/>
          </w:tcPr>
          <w:p w14:paraId="314D8A2B" w14:textId="77777777" w:rsidR="004D70A6" w:rsidRDefault="00C9062A">
            <w:r>
              <w:t>Stolik pomiarowy kontrolowany temperaturowo</w:t>
            </w:r>
          </w:p>
        </w:tc>
        <w:tc>
          <w:tcPr>
            <w:tcW w:w="6383" w:type="dxa"/>
          </w:tcPr>
          <w:p w14:paraId="06BA6D64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Najniższa temperatura ≤ -60°C</w:t>
            </w:r>
          </w:p>
          <w:p w14:paraId="390339AB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Najwyższa temperatura ≥ 200°C</w:t>
            </w:r>
          </w:p>
        </w:tc>
      </w:tr>
      <w:tr w:rsidR="004D70A6" w14:paraId="44F2E52A" w14:textId="77777777">
        <w:tc>
          <w:tcPr>
            <w:tcW w:w="460" w:type="dxa"/>
          </w:tcPr>
          <w:p w14:paraId="5A4B3EB3" w14:textId="77777777" w:rsidR="004D70A6" w:rsidRDefault="00C9062A">
            <w:r>
              <w:t>38</w:t>
            </w:r>
          </w:p>
        </w:tc>
        <w:tc>
          <w:tcPr>
            <w:tcW w:w="2219" w:type="dxa"/>
          </w:tcPr>
          <w:p w14:paraId="13B14EAB" w14:textId="77777777" w:rsidR="004D70A6" w:rsidRDefault="00C9062A">
            <w:r>
              <w:t>System kontroli temperatury</w:t>
            </w:r>
          </w:p>
        </w:tc>
        <w:tc>
          <w:tcPr>
            <w:tcW w:w="6383" w:type="dxa"/>
          </w:tcPr>
          <w:p w14:paraId="1423B058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Chłodzenie powietrzem</w:t>
            </w:r>
          </w:p>
          <w:p w14:paraId="3830D89E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Grzałka oporowa</w:t>
            </w:r>
          </w:p>
        </w:tc>
      </w:tr>
      <w:tr w:rsidR="004D70A6" w14:paraId="6AE37616" w14:textId="77777777">
        <w:tc>
          <w:tcPr>
            <w:tcW w:w="460" w:type="dxa"/>
          </w:tcPr>
          <w:p w14:paraId="354E45D7" w14:textId="77777777" w:rsidR="004D70A6" w:rsidRDefault="00C9062A">
            <w:r>
              <w:t>39</w:t>
            </w:r>
          </w:p>
        </w:tc>
        <w:tc>
          <w:tcPr>
            <w:tcW w:w="2219" w:type="dxa"/>
          </w:tcPr>
          <w:p w14:paraId="16DA0AD2" w14:textId="77777777" w:rsidR="004D70A6" w:rsidRDefault="00C9062A">
            <w:r>
              <w:t>Chłodziwo</w:t>
            </w:r>
          </w:p>
        </w:tc>
        <w:tc>
          <w:tcPr>
            <w:tcW w:w="6383" w:type="dxa"/>
          </w:tcPr>
          <w:p w14:paraId="45DDD93B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Powietrze</w:t>
            </w:r>
          </w:p>
        </w:tc>
      </w:tr>
      <w:tr w:rsidR="004D70A6" w14:paraId="2FB233ED" w14:textId="77777777">
        <w:tc>
          <w:tcPr>
            <w:tcW w:w="460" w:type="dxa"/>
          </w:tcPr>
          <w:p w14:paraId="33361909" w14:textId="77777777" w:rsidR="004D70A6" w:rsidRDefault="00C9062A">
            <w:r>
              <w:t>40</w:t>
            </w:r>
          </w:p>
        </w:tc>
        <w:tc>
          <w:tcPr>
            <w:tcW w:w="2219" w:type="dxa"/>
          </w:tcPr>
          <w:p w14:paraId="3D6B4F9A" w14:textId="77777777" w:rsidR="004D70A6" w:rsidRDefault="00C9062A">
            <w:r>
              <w:t xml:space="preserve">Najmniejszy krok </w:t>
            </w:r>
            <w:proofErr w:type="spellStart"/>
            <w:r>
              <w:t>nastawu</w:t>
            </w:r>
            <w:proofErr w:type="spellEnd"/>
            <w:r>
              <w:t xml:space="preserve"> temperatury</w:t>
            </w:r>
          </w:p>
        </w:tc>
        <w:tc>
          <w:tcPr>
            <w:tcW w:w="6383" w:type="dxa"/>
          </w:tcPr>
          <w:p w14:paraId="58D99EE9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0.1 °C</w:t>
            </w:r>
          </w:p>
        </w:tc>
      </w:tr>
      <w:tr w:rsidR="004D70A6" w14:paraId="308AE26D" w14:textId="77777777">
        <w:tc>
          <w:tcPr>
            <w:tcW w:w="460" w:type="dxa"/>
          </w:tcPr>
          <w:p w14:paraId="627ED86C" w14:textId="77777777" w:rsidR="004D70A6" w:rsidRDefault="00C9062A">
            <w:r>
              <w:t>41</w:t>
            </w:r>
          </w:p>
        </w:tc>
        <w:tc>
          <w:tcPr>
            <w:tcW w:w="2219" w:type="dxa"/>
          </w:tcPr>
          <w:p w14:paraId="37419275" w14:textId="77777777" w:rsidR="004D70A6" w:rsidRDefault="00C9062A">
            <w:r>
              <w:t>Stabilność temperaturowa</w:t>
            </w:r>
          </w:p>
        </w:tc>
        <w:tc>
          <w:tcPr>
            <w:tcW w:w="6383" w:type="dxa"/>
          </w:tcPr>
          <w:p w14:paraId="699C6992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±0.08 °C</w:t>
            </w:r>
          </w:p>
        </w:tc>
      </w:tr>
      <w:tr w:rsidR="004D70A6" w14:paraId="07C536F0" w14:textId="77777777">
        <w:tc>
          <w:tcPr>
            <w:tcW w:w="460" w:type="dxa"/>
          </w:tcPr>
          <w:p w14:paraId="5B1D4803" w14:textId="77777777" w:rsidR="004D70A6" w:rsidRDefault="00C9062A">
            <w:r>
              <w:t>42</w:t>
            </w:r>
          </w:p>
        </w:tc>
        <w:tc>
          <w:tcPr>
            <w:tcW w:w="2219" w:type="dxa"/>
          </w:tcPr>
          <w:p w14:paraId="0D6081D2" w14:textId="77777777" w:rsidR="004D70A6" w:rsidRDefault="00C9062A">
            <w:r>
              <w:t>Dokładność temperaturowa</w:t>
            </w:r>
          </w:p>
        </w:tc>
        <w:tc>
          <w:tcPr>
            <w:tcW w:w="6383" w:type="dxa"/>
          </w:tcPr>
          <w:p w14:paraId="4A6109E3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0.1 °C</w:t>
            </w:r>
          </w:p>
        </w:tc>
      </w:tr>
      <w:tr w:rsidR="004D70A6" w14:paraId="72D6EE0D" w14:textId="77777777">
        <w:tc>
          <w:tcPr>
            <w:tcW w:w="460" w:type="dxa"/>
          </w:tcPr>
          <w:p w14:paraId="33D95720" w14:textId="77777777" w:rsidR="004D70A6" w:rsidRDefault="00C9062A">
            <w:r>
              <w:t>43</w:t>
            </w:r>
          </w:p>
        </w:tc>
        <w:tc>
          <w:tcPr>
            <w:tcW w:w="2219" w:type="dxa"/>
          </w:tcPr>
          <w:p w14:paraId="33F03A79" w14:textId="77777777" w:rsidR="004D70A6" w:rsidRDefault="00C9062A">
            <w:r>
              <w:t>Jednorodność temperatury</w:t>
            </w:r>
          </w:p>
        </w:tc>
        <w:tc>
          <w:tcPr>
            <w:tcW w:w="6383" w:type="dxa"/>
          </w:tcPr>
          <w:p w14:paraId="21FFF140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≤ ±0,5 °C w ≤ 200 °C</w:t>
            </w:r>
          </w:p>
        </w:tc>
      </w:tr>
      <w:tr w:rsidR="004D70A6" w14:paraId="16242652" w14:textId="77777777">
        <w:tc>
          <w:tcPr>
            <w:tcW w:w="460" w:type="dxa"/>
          </w:tcPr>
          <w:p w14:paraId="3A7765B4" w14:textId="77777777" w:rsidR="004D70A6" w:rsidRDefault="00C9062A">
            <w:r>
              <w:t>44</w:t>
            </w:r>
          </w:p>
        </w:tc>
        <w:tc>
          <w:tcPr>
            <w:tcW w:w="2219" w:type="dxa"/>
          </w:tcPr>
          <w:p w14:paraId="11858355" w14:textId="77777777" w:rsidR="004D70A6" w:rsidRDefault="00C9062A">
            <w:r>
              <w:t>Tempo ogrzewania</w:t>
            </w:r>
          </w:p>
        </w:tc>
        <w:tc>
          <w:tcPr>
            <w:tcW w:w="6383" w:type="dxa"/>
          </w:tcPr>
          <w:p w14:paraId="4A0C1EA8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-60 do 25°C ≤ 15 min</w:t>
            </w:r>
          </w:p>
          <w:p w14:paraId="4E00F782" w14:textId="77777777" w:rsidR="004D70A6" w:rsidRDefault="00C906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25 do 200 °C ≤ 20 min</w:t>
            </w:r>
          </w:p>
        </w:tc>
      </w:tr>
      <w:tr w:rsidR="004D70A6" w14:paraId="13BCEFF5" w14:textId="77777777">
        <w:tc>
          <w:tcPr>
            <w:tcW w:w="460" w:type="dxa"/>
          </w:tcPr>
          <w:p w14:paraId="03DEE771" w14:textId="77777777" w:rsidR="004D70A6" w:rsidRDefault="00C9062A">
            <w:r>
              <w:t>45</w:t>
            </w:r>
          </w:p>
        </w:tc>
        <w:tc>
          <w:tcPr>
            <w:tcW w:w="2219" w:type="dxa"/>
          </w:tcPr>
          <w:p w14:paraId="196190C0" w14:textId="77777777" w:rsidR="004D70A6" w:rsidRDefault="00C9062A">
            <w:r>
              <w:t>Tempo chłodzenia</w:t>
            </w:r>
          </w:p>
        </w:tc>
        <w:tc>
          <w:tcPr>
            <w:tcW w:w="6383" w:type="dxa"/>
          </w:tcPr>
          <w:p w14:paraId="4EFAE027" w14:textId="77777777" w:rsidR="004D70A6" w:rsidRDefault="00C906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200 do 25°C ≤ 15 min</w:t>
            </w:r>
          </w:p>
          <w:p w14:paraId="0976202C" w14:textId="77777777" w:rsidR="004D70A6" w:rsidRDefault="00C906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25 do -60°C ≤ 30 min</w:t>
            </w:r>
          </w:p>
        </w:tc>
      </w:tr>
      <w:tr w:rsidR="004D70A6" w14:paraId="30F6D112" w14:textId="77777777">
        <w:tc>
          <w:tcPr>
            <w:tcW w:w="460" w:type="dxa"/>
          </w:tcPr>
          <w:p w14:paraId="524E57C7" w14:textId="77777777" w:rsidR="004D70A6" w:rsidRDefault="004D70A6"/>
        </w:tc>
        <w:tc>
          <w:tcPr>
            <w:tcW w:w="8602" w:type="dxa"/>
            <w:gridSpan w:val="2"/>
          </w:tcPr>
          <w:p w14:paraId="228A5BF7" w14:textId="77777777" w:rsidR="004D70A6" w:rsidRDefault="00C9062A">
            <w:pPr>
              <w:jc w:val="center"/>
              <w:rPr>
                <w:b/>
              </w:rPr>
            </w:pPr>
            <w:r>
              <w:rPr>
                <w:b/>
              </w:rPr>
              <w:t>Jednostki pomiarowe i sterujące</w:t>
            </w:r>
          </w:p>
        </w:tc>
      </w:tr>
      <w:tr w:rsidR="004D70A6" w14:paraId="681EB5B1" w14:textId="77777777">
        <w:tc>
          <w:tcPr>
            <w:tcW w:w="460" w:type="dxa"/>
          </w:tcPr>
          <w:p w14:paraId="07BF7E2D" w14:textId="77777777" w:rsidR="004D70A6" w:rsidRDefault="00C9062A">
            <w:r>
              <w:t>46</w:t>
            </w:r>
          </w:p>
        </w:tc>
        <w:tc>
          <w:tcPr>
            <w:tcW w:w="2219" w:type="dxa"/>
          </w:tcPr>
          <w:p w14:paraId="585847A2" w14:textId="77777777" w:rsidR="004D70A6" w:rsidRDefault="00C9062A">
            <w:r>
              <w:t>Komputer PC stacji pomiarowej</w:t>
            </w:r>
          </w:p>
        </w:tc>
        <w:tc>
          <w:tcPr>
            <w:tcW w:w="6383" w:type="dxa"/>
          </w:tcPr>
          <w:p w14:paraId="4DC0F009" w14:textId="77777777" w:rsidR="004D70A6" w:rsidRDefault="00C9062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Komputer klasy PC</w:t>
            </w:r>
          </w:p>
          <w:p w14:paraId="7DC56F78" w14:textId="77777777" w:rsidR="004D70A6" w:rsidRDefault="00C9062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dwa płaskie monitory o przekątnej ≥ 22"</w:t>
            </w:r>
          </w:p>
          <w:p w14:paraId="1A524582" w14:textId="77777777" w:rsidR="004D70A6" w:rsidRDefault="00C9062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 systemem operacyjnym Windows 10 lub równoważnym</w:t>
            </w:r>
          </w:p>
          <w:p w14:paraId="614149E4" w14:textId="77777777" w:rsidR="004D70A6" w:rsidRDefault="00C9062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Bezprzewodowa klawiatura i mysz</w:t>
            </w:r>
          </w:p>
          <w:p w14:paraId="20BC9C7A" w14:textId="77777777" w:rsidR="004D70A6" w:rsidRDefault="00C9062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250 GB SSD</w:t>
            </w:r>
          </w:p>
          <w:p w14:paraId="7ECBB654" w14:textId="77777777" w:rsidR="004D70A6" w:rsidRDefault="00C9062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8 GB pamięci RAM</w:t>
            </w:r>
          </w:p>
        </w:tc>
      </w:tr>
      <w:tr w:rsidR="004D70A6" w14:paraId="7BD27396" w14:textId="77777777">
        <w:tc>
          <w:tcPr>
            <w:tcW w:w="460" w:type="dxa"/>
          </w:tcPr>
          <w:p w14:paraId="7D2D26D5" w14:textId="77777777" w:rsidR="004D70A6" w:rsidRDefault="00C9062A">
            <w:r>
              <w:t>47</w:t>
            </w:r>
          </w:p>
        </w:tc>
        <w:tc>
          <w:tcPr>
            <w:tcW w:w="2219" w:type="dxa"/>
          </w:tcPr>
          <w:p w14:paraId="4837A9EC" w14:textId="77777777" w:rsidR="004D70A6" w:rsidRDefault="00C9062A">
            <w:r>
              <w:t>Analizator parametryczny</w:t>
            </w:r>
          </w:p>
        </w:tc>
        <w:tc>
          <w:tcPr>
            <w:tcW w:w="6383" w:type="dxa"/>
          </w:tcPr>
          <w:p w14:paraId="1A7E95FB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Mierzone parametry: charakterystyka I-V, rezystancja</w:t>
            </w:r>
          </w:p>
          <w:p w14:paraId="054C9075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dwie jednostki średniej mocy (SMU)</w:t>
            </w:r>
          </w:p>
          <w:p w14:paraId="654E9CE9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Pomiary w dziedzinie czasu (próbkowanie)</w:t>
            </w:r>
          </w:p>
          <w:p w14:paraId="13E690A1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Pomiary charakterystyk prądowo-napięciowych z różną szybkością i kierunkiem przebiegu skanu napięć/prądu </w:t>
            </w:r>
          </w:p>
          <w:p w14:paraId="0F473F3E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Wymagany pomiar pojemności w funkcji napięcia z wykorzystaniem metody quasi-statycznej oraz niskoczęstotliwościowej (VLF) realizowany z wykorzystaniem standardowych SMU realizujących pomiary DC</w:t>
            </w:r>
          </w:p>
          <w:p w14:paraId="3B51DD54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Testowanie elementów i urządzeń elektronicznych w obudowach (urządzenie testowe w postaci celki pomiarowej)</w:t>
            </w:r>
          </w:p>
          <w:p w14:paraId="4EA4B502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Rozszerzenie w przyszłości analizatora o moduł do pomiarów impedancji (wysokoczęstotliwościowe SMU impedancyjne)</w:t>
            </w:r>
          </w:p>
          <w:p w14:paraId="1FC0F13C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Możliwość przetwarzania danych po dokonaniu pomiaru</w:t>
            </w:r>
          </w:p>
          <w:p w14:paraId="47F346AA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Dostarczony układ jest gotowy do użycia, w całości, ze wszystkimi częściami kompatybilnymi ze sobą i niezbędnymi do prawidłowego funkcjonowania, również z elementami nie wymienionymi w niniejszej specyfikacji.</w:t>
            </w:r>
          </w:p>
          <w:p w14:paraId="5AEAC69E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Oprogramowanie zainstalowane w analizatorze umożliwia wykorzystanie gotowych projektów pomiarowych, pozwala na ich modyfikację, kopiowanie, importowanie i eksportowanie na dowolne nośniki danych.</w:t>
            </w:r>
          </w:p>
        </w:tc>
      </w:tr>
      <w:tr w:rsidR="004D70A6" w14:paraId="338A87CE" w14:textId="77777777">
        <w:tc>
          <w:tcPr>
            <w:tcW w:w="460" w:type="dxa"/>
          </w:tcPr>
          <w:p w14:paraId="53A939AD" w14:textId="77777777" w:rsidR="004D70A6" w:rsidRDefault="00C9062A">
            <w:r>
              <w:t>48</w:t>
            </w:r>
          </w:p>
        </w:tc>
        <w:tc>
          <w:tcPr>
            <w:tcW w:w="2219" w:type="dxa"/>
          </w:tcPr>
          <w:p w14:paraId="1E16892D" w14:textId="77777777" w:rsidR="004D70A6" w:rsidRDefault="00C9062A">
            <w:r>
              <w:t>Źródło napięciowe, pomiarowe (SMU)</w:t>
            </w:r>
          </w:p>
        </w:tc>
        <w:tc>
          <w:tcPr>
            <w:tcW w:w="6383" w:type="dxa"/>
          </w:tcPr>
          <w:p w14:paraId="61994954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Zakres przynajmniej 210 V dla wszystkich kanałów</w:t>
            </w:r>
          </w:p>
          <w:p w14:paraId="509F0E61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Rozdzielczość źródła ≤ 5 µV</w:t>
            </w:r>
          </w:p>
          <w:p w14:paraId="00F78A8A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Rozdzielczość pomiaru ≤ 0,2 µV</w:t>
            </w:r>
          </w:p>
        </w:tc>
      </w:tr>
      <w:tr w:rsidR="004D70A6" w14:paraId="16F5F660" w14:textId="77777777">
        <w:tc>
          <w:tcPr>
            <w:tcW w:w="460" w:type="dxa"/>
          </w:tcPr>
          <w:p w14:paraId="6488C21A" w14:textId="77777777" w:rsidR="004D70A6" w:rsidRDefault="00C9062A">
            <w:r>
              <w:t>49</w:t>
            </w:r>
          </w:p>
        </w:tc>
        <w:tc>
          <w:tcPr>
            <w:tcW w:w="2219" w:type="dxa"/>
          </w:tcPr>
          <w:p w14:paraId="6D8B43BC" w14:textId="77777777" w:rsidR="004D70A6" w:rsidRDefault="00C9062A">
            <w:r>
              <w:t>Źródło prądowe, pomiarowe (SMU)</w:t>
            </w:r>
          </w:p>
        </w:tc>
        <w:tc>
          <w:tcPr>
            <w:tcW w:w="6383" w:type="dxa"/>
          </w:tcPr>
          <w:p w14:paraId="12B27531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Zakres przynajmniej 100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dla wszystkich kanałów</w:t>
            </w:r>
          </w:p>
          <w:p w14:paraId="63468FDF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Rozdzielczość źródła ≤ 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pA</w:t>
            </w:r>
            <w:proofErr w:type="spellEnd"/>
          </w:p>
          <w:p w14:paraId="250A4B42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Rozdzielczość pomiaru ≤ 100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</w:t>
            </w:r>
            <w:proofErr w:type="spellEnd"/>
          </w:p>
        </w:tc>
      </w:tr>
      <w:tr w:rsidR="004D70A6" w14:paraId="562B4B93" w14:textId="77777777">
        <w:tc>
          <w:tcPr>
            <w:tcW w:w="460" w:type="dxa"/>
          </w:tcPr>
          <w:p w14:paraId="74F97AB7" w14:textId="77777777" w:rsidR="004D70A6" w:rsidRDefault="00C9062A">
            <w:r>
              <w:t>50</w:t>
            </w:r>
          </w:p>
        </w:tc>
        <w:tc>
          <w:tcPr>
            <w:tcW w:w="2219" w:type="dxa"/>
          </w:tcPr>
          <w:p w14:paraId="21E5C760" w14:textId="77777777" w:rsidR="004D70A6" w:rsidRDefault="00C9062A">
            <w:r>
              <w:t>Źródło prądowe, pomiarowe (SMU) z przedwzmacniaczem</w:t>
            </w:r>
          </w:p>
        </w:tc>
        <w:tc>
          <w:tcPr>
            <w:tcW w:w="6383" w:type="dxa"/>
          </w:tcPr>
          <w:p w14:paraId="071E8253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Zakres co najmniej 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dla jednego kanału</w:t>
            </w:r>
          </w:p>
          <w:p w14:paraId="387A5277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Rozdzielczość źródła ≤ 1,5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</w:t>
            </w:r>
            <w:proofErr w:type="spellEnd"/>
          </w:p>
          <w:p w14:paraId="47BA6E6E" w14:textId="77777777" w:rsidR="004D70A6" w:rsidRDefault="00C9062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Rozdzielczość pomiaru ≤ 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aA</w:t>
            </w:r>
            <w:proofErr w:type="spellEnd"/>
          </w:p>
        </w:tc>
      </w:tr>
      <w:tr w:rsidR="004D70A6" w14:paraId="19A742FC" w14:textId="77777777">
        <w:tc>
          <w:tcPr>
            <w:tcW w:w="460" w:type="dxa"/>
          </w:tcPr>
          <w:p w14:paraId="55FF2988" w14:textId="77777777" w:rsidR="004D70A6" w:rsidRDefault="00C9062A">
            <w:r>
              <w:t>51</w:t>
            </w:r>
          </w:p>
        </w:tc>
        <w:tc>
          <w:tcPr>
            <w:tcW w:w="2219" w:type="dxa"/>
          </w:tcPr>
          <w:p w14:paraId="38E92C29" w14:textId="77777777" w:rsidR="004D70A6" w:rsidRDefault="00C9062A">
            <w:r>
              <w:t>Wektorowy analizator sieci</w:t>
            </w:r>
          </w:p>
        </w:tc>
        <w:tc>
          <w:tcPr>
            <w:tcW w:w="6383" w:type="dxa"/>
          </w:tcPr>
          <w:p w14:paraId="644FEDFE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Szerokość pasma pomiarowego: ≤100 kHz do co najmniej ≥ 4,5 GHz</w:t>
            </w:r>
          </w:p>
          <w:p w14:paraId="696A25F4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Co najmniej dwa niezależne porty (analizator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czteroodbiornikowy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). Jednoczesny pomiar współczynników macierzy [S] bez konieczności odłączania mierzonego obiektu od wrót analizatora</w:t>
            </w:r>
          </w:p>
          <w:p w14:paraId="283EE512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Harmoniczne &lt; –25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dBc</w:t>
            </w:r>
            <w:proofErr w:type="spellEnd"/>
          </w:p>
          <w:p w14:paraId="0FE6BECE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Poziom szumów własnych (przy pasmie pomiarowym 1 kHz, znormalizowany do 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mniejszy niż –110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dBm</w:t>
            </w:r>
            <w:proofErr w:type="spellEnd"/>
          </w:p>
          <w:p w14:paraId="2232A174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Złącza N(f), 50 Ω </w:t>
            </w:r>
          </w:p>
          <w:p w14:paraId="0B68B6F6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Kierunkowość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directivity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po kalibracji (dla filtru 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w zakresie 0,1 MHz – 4,5 GHz co najmniej 38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</w:p>
          <w:p w14:paraId="4B3FAA59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Dopasowanie źródła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source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po kalibracji (dla filtru 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w zakresie 0,1 MHz – 4,5 GHz co najmniej 35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</w:p>
          <w:p w14:paraId="6476EDE6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Dopasowanie obciążenia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load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po kalibracji (dla filtru 10Hz) w zakresie 0,1 MHz – 4,5 GHz co najmniej 36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</w:p>
          <w:p w14:paraId="41917B07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zmian pasma filtra IF co najmniej od 10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 300 kHz</w:t>
            </w:r>
          </w:p>
          <w:p w14:paraId="052999A8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Wbudowany wyświetlacz kolorowy LCD dotykowy o przekątnej nie mniejszej od 24 cm i rozdzielczość co najmniej 1024x768</w:t>
            </w:r>
          </w:p>
          <w:p w14:paraId="27F87AE7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Wyjście na zewnętrzny monitor D-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lub DVI lub HDMI</w:t>
            </w:r>
          </w:p>
          <w:p w14:paraId="028FC497" w14:textId="77777777" w:rsidR="004D70A6" w:rsidRDefault="00C9062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Pełen zestaw testowy wspomagający pomiary dwuportowe</w:t>
            </w:r>
          </w:p>
          <w:p w14:paraId="60759212" w14:textId="77777777" w:rsidR="004D70A6" w:rsidRDefault="00C9062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Zakres mocy RF analizatora: ≤-45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co najmniej  ≥ 3 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dBm</w:t>
            </w:r>
            <w:proofErr w:type="spellEnd"/>
          </w:p>
          <w:p w14:paraId="1971A5BE" w14:textId="77777777" w:rsidR="004D70A6" w:rsidRDefault="00C9062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Możliwość sterowania pasmem pomiarowym w trybie skokowym przynajmniej w krokach 1/1.5/2/3/5/7 w zakresie nie węższym niż od 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300 kHz</w:t>
            </w:r>
          </w:p>
          <w:p w14:paraId="37F03567" w14:textId="77777777" w:rsidR="004D70A6" w:rsidRDefault="00C9062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Dynamika analizatora nie niższa niż 120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(wartość typowa nie niższa niż 130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14:paraId="153D7FEB" w14:textId="77777777" w:rsidR="004D70A6" w:rsidRDefault="00C9062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Szybkość pomiaru (określona dla 201 punktów pomiarowych,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spanu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200 MHz, oraz pasma pomiarowego 300 kHz) mniejsza niż 4 ms w trybie SWEEP dla częstotliwości środkowej wynoszącej 900 MHz</w:t>
            </w:r>
          </w:p>
          <w:p w14:paraId="7361297E" w14:textId="77777777" w:rsidR="004D70A6" w:rsidRDefault="00C9062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Rozdzielczość częstotliwości ≤ 1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Hz</w:t>
            </w:r>
            <w:proofErr w:type="spellEnd"/>
          </w:p>
          <w:p w14:paraId="7181BFC8" w14:textId="77777777" w:rsidR="004D70A6" w:rsidRDefault="00C9062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Stabilność częstotliwości ≤ ±1 × 10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-6</w:t>
            </w:r>
          </w:p>
        </w:tc>
      </w:tr>
      <w:tr w:rsidR="004D70A6" w14:paraId="43D84D78" w14:textId="77777777">
        <w:tc>
          <w:tcPr>
            <w:tcW w:w="460" w:type="dxa"/>
          </w:tcPr>
          <w:p w14:paraId="40C1839B" w14:textId="77777777" w:rsidR="004D70A6" w:rsidRDefault="004D70A6"/>
        </w:tc>
        <w:tc>
          <w:tcPr>
            <w:tcW w:w="8602" w:type="dxa"/>
            <w:gridSpan w:val="2"/>
          </w:tcPr>
          <w:p w14:paraId="5AE2A4C7" w14:textId="77777777" w:rsidR="004D70A6" w:rsidRDefault="00C9062A">
            <w:pPr>
              <w:jc w:val="center"/>
              <w:rPr>
                <w:b/>
              </w:rPr>
            </w:pPr>
            <w:r>
              <w:rPr>
                <w:b/>
              </w:rPr>
              <w:t>Osprzęt dodatkowy</w:t>
            </w:r>
          </w:p>
        </w:tc>
      </w:tr>
      <w:tr w:rsidR="004D70A6" w14:paraId="5AB15AD7" w14:textId="77777777">
        <w:tc>
          <w:tcPr>
            <w:tcW w:w="460" w:type="dxa"/>
          </w:tcPr>
          <w:p w14:paraId="5C20D301" w14:textId="77777777" w:rsidR="004D70A6" w:rsidRDefault="00C9062A">
            <w:r>
              <w:t>52</w:t>
            </w:r>
          </w:p>
        </w:tc>
        <w:tc>
          <w:tcPr>
            <w:tcW w:w="2219" w:type="dxa"/>
          </w:tcPr>
          <w:p w14:paraId="724BA21B" w14:textId="77777777" w:rsidR="004D70A6" w:rsidRDefault="00C9062A">
            <w:r>
              <w:t>Przewody</w:t>
            </w:r>
          </w:p>
        </w:tc>
        <w:tc>
          <w:tcPr>
            <w:tcW w:w="6383" w:type="dxa"/>
          </w:tcPr>
          <w:p w14:paraId="5A96D05B" w14:textId="77777777" w:rsidR="004D70A6" w:rsidRDefault="00C9062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Zestaw przewodów do podłączenia sond Kelvina</w:t>
            </w:r>
          </w:p>
          <w:p w14:paraId="66C41849" w14:textId="77777777" w:rsidR="004D70A6" w:rsidRDefault="00C9062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Zestaw przewodów do podłączenia ramienia RF</w:t>
            </w:r>
          </w:p>
          <w:p w14:paraId="0BE49193" w14:textId="77777777" w:rsidR="004D70A6" w:rsidRDefault="00C9062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Zestaw przewodów do podłączenia wszystkich analizatorów</w:t>
            </w:r>
          </w:p>
        </w:tc>
      </w:tr>
      <w:tr w:rsidR="004D70A6" w14:paraId="01996ED9" w14:textId="77777777">
        <w:tc>
          <w:tcPr>
            <w:tcW w:w="460" w:type="dxa"/>
          </w:tcPr>
          <w:p w14:paraId="60F6CAE9" w14:textId="77777777" w:rsidR="004D70A6" w:rsidRDefault="00C9062A">
            <w:r>
              <w:t>53</w:t>
            </w:r>
          </w:p>
        </w:tc>
        <w:tc>
          <w:tcPr>
            <w:tcW w:w="2219" w:type="dxa"/>
          </w:tcPr>
          <w:p w14:paraId="76D3408E" w14:textId="77777777" w:rsidR="004D70A6" w:rsidRDefault="00C9062A">
            <w:r>
              <w:t>Wzorzec kalibracji GSG</w:t>
            </w:r>
          </w:p>
        </w:tc>
        <w:tc>
          <w:tcPr>
            <w:tcW w:w="6383" w:type="dxa"/>
          </w:tcPr>
          <w:p w14:paraId="216087B7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Dopasowane rastrem do sond RF</w:t>
            </w:r>
          </w:p>
          <w:p w14:paraId="0F434256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Obsługujący metody kalibracji końcówek sond SOLT, SOLR, LRM i TRL</w:t>
            </w:r>
          </w:p>
          <w:p w14:paraId="2254A254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Odpowiedni co najmniej do 26 GHz</w:t>
            </w:r>
          </w:p>
          <w:p w14:paraId="23E43620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Ze znacznikiem ustawienia</w:t>
            </w:r>
          </w:p>
          <w:p w14:paraId="04FD39A7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 zestawem wzorców offsetowych do precyzyjnej kalibracji</w:t>
            </w:r>
          </w:p>
        </w:tc>
      </w:tr>
      <w:tr w:rsidR="004D70A6" w14:paraId="04B9A5F0" w14:textId="77777777">
        <w:tc>
          <w:tcPr>
            <w:tcW w:w="460" w:type="dxa"/>
          </w:tcPr>
          <w:p w14:paraId="763E30A1" w14:textId="77777777" w:rsidR="004D70A6" w:rsidRDefault="00C9062A">
            <w:r>
              <w:t>54</w:t>
            </w:r>
          </w:p>
        </w:tc>
        <w:tc>
          <w:tcPr>
            <w:tcW w:w="2219" w:type="dxa"/>
          </w:tcPr>
          <w:p w14:paraId="4ADC7A5D" w14:textId="77777777" w:rsidR="004D70A6" w:rsidRDefault="00C9062A">
            <w:r>
              <w:t xml:space="preserve">Układ polaryzacji </w:t>
            </w:r>
            <w:proofErr w:type="spellStart"/>
            <w:r>
              <w:t>bias-tee</w:t>
            </w:r>
            <w:proofErr w:type="spellEnd"/>
          </w:p>
        </w:tc>
        <w:tc>
          <w:tcPr>
            <w:tcW w:w="6383" w:type="dxa"/>
          </w:tcPr>
          <w:p w14:paraId="074F1A21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dwa osobne układy polaryzacji</w:t>
            </w:r>
          </w:p>
          <w:p w14:paraId="00AA1D63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Złącza sygnału w.cz. SMA lub 3,5 mm</w:t>
            </w:r>
          </w:p>
          <w:p w14:paraId="193617B0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Napięcie maksymalne DC ≥ 30 V</w:t>
            </w:r>
          </w:p>
          <w:p w14:paraId="4B3781AC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Prąd maksymalny DC ≥ 400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</w:t>
            </w:r>
            <w:proofErr w:type="spellEnd"/>
          </w:p>
          <w:p w14:paraId="2B767472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Częstotliwość przenoszenia sygnału w.cz.: ≤100 kHz do co najmniej ≥ 6 GHz</w:t>
            </w:r>
          </w:p>
          <w:p w14:paraId="7A5E0A2F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Moc RF co najmniej do 30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dBm</w:t>
            </w:r>
            <w:proofErr w:type="spellEnd"/>
          </w:p>
        </w:tc>
      </w:tr>
      <w:tr w:rsidR="004D70A6" w14:paraId="4FB4A2FE" w14:textId="77777777">
        <w:tc>
          <w:tcPr>
            <w:tcW w:w="460" w:type="dxa"/>
          </w:tcPr>
          <w:p w14:paraId="611F9B36" w14:textId="77777777" w:rsidR="004D70A6" w:rsidRDefault="00C9062A">
            <w:r>
              <w:t>55</w:t>
            </w:r>
          </w:p>
        </w:tc>
        <w:tc>
          <w:tcPr>
            <w:tcW w:w="2219" w:type="dxa"/>
          </w:tcPr>
          <w:p w14:paraId="14925B35" w14:textId="77777777" w:rsidR="004D70A6" w:rsidRDefault="00C9062A">
            <w:r>
              <w:t>Przystawka (</w:t>
            </w:r>
            <w:proofErr w:type="spellStart"/>
            <w:r>
              <w:t>add-on</w:t>
            </w:r>
            <w:proofErr w:type="spellEnd"/>
            <w:r>
              <w:t>)</w:t>
            </w:r>
          </w:p>
        </w:tc>
        <w:tc>
          <w:tcPr>
            <w:tcW w:w="6383" w:type="dxa"/>
          </w:tcPr>
          <w:p w14:paraId="4DC1CC02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Przystawka do pomiaru nieregularnych podłoży (standardowe próbki Vigo wycięte z 2" płytki według poniższego schematu) oraz podłoży o średnicy nie wspieranej bezpośrednio przez stację</w:t>
            </w:r>
          </w:p>
          <w:p w14:paraId="1EBC34B5" w14:textId="77777777" w:rsidR="004D70A6" w:rsidRDefault="00C906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41F1B51" wp14:editId="2867C500">
                  <wp:extent cx="3243580" cy="24993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t="13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580" cy="2499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53EBE46" w14:textId="77777777" w:rsidR="004D70A6" w:rsidRDefault="00C90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Rysunek 1. Sposób cięcia 2" płytek w VIGO.</w:t>
            </w:r>
          </w:p>
          <w:p w14:paraId="431657F3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Gniazda w przystawce:</w:t>
            </w:r>
          </w:p>
          <w:p w14:paraId="4B38DAEC" w14:textId="77777777" w:rsidR="004D70A6" w:rsidRDefault="00C9062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85"/>
            </w:pPr>
            <w:r>
              <w:rPr>
                <w:rFonts w:ascii="Calibri" w:eastAsia="Calibri" w:hAnsi="Calibri" w:cs="Calibri"/>
                <w:color w:val="000000"/>
              </w:rPr>
              <w:t xml:space="preserve">Jedno na podłoże 3" </w:t>
            </w:r>
          </w:p>
          <w:p w14:paraId="5F335AD0" w14:textId="77777777" w:rsidR="004D70A6" w:rsidRDefault="00C9062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85"/>
            </w:pPr>
            <w:r>
              <w:rPr>
                <w:rFonts w:ascii="Calibri" w:eastAsia="Calibri" w:hAnsi="Calibri" w:cs="Calibri"/>
                <w:color w:val="000000"/>
              </w:rPr>
              <w:t xml:space="preserve">Jedno na podłoże 2" </w:t>
            </w:r>
          </w:p>
          <w:p w14:paraId="502FB78D" w14:textId="77777777" w:rsidR="004D70A6" w:rsidRDefault="00C9062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85"/>
            </w:pPr>
            <w:r>
              <w:rPr>
                <w:rFonts w:ascii="Calibri" w:eastAsia="Calibri" w:hAnsi="Calibri" w:cs="Calibri"/>
                <w:color w:val="000000"/>
              </w:rPr>
              <w:t>Dwa dla dużego kawałka połączonych kawałków 3, 4, 5, 6</w:t>
            </w:r>
          </w:p>
          <w:p w14:paraId="51A17BD5" w14:textId="77777777" w:rsidR="004D70A6" w:rsidRDefault="00C9062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85"/>
            </w:pPr>
            <w:r>
              <w:rPr>
                <w:rFonts w:ascii="Calibri" w:eastAsia="Calibri" w:hAnsi="Calibri" w:cs="Calibri"/>
                <w:color w:val="000000"/>
              </w:rPr>
              <w:t>Jedno na kawałek połączonych kawałków 3 i 5</w:t>
            </w:r>
          </w:p>
          <w:p w14:paraId="3B186B87" w14:textId="77777777" w:rsidR="004D70A6" w:rsidRDefault="00C9062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85"/>
            </w:pPr>
            <w:r>
              <w:rPr>
                <w:rFonts w:ascii="Calibri" w:eastAsia="Calibri" w:hAnsi="Calibri" w:cs="Calibri"/>
                <w:color w:val="000000"/>
              </w:rPr>
              <w:t>Jedno na kawałek połączonych kawałków 4 i 6</w:t>
            </w:r>
          </w:p>
          <w:p w14:paraId="32E1E905" w14:textId="77777777" w:rsidR="004D70A6" w:rsidRDefault="00C9062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85"/>
            </w:pPr>
            <w:r>
              <w:rPr>
                <w:rFonts w:ascii="Calibri" w:eastAsia="Calibri" w:hAnsi="Calibri" w:cs="Calibri"/>
                <w:color w:val="000000"/>
              </w:rPr>
              <w:t>Cztery na małe kawałki 2 lub 6</w:t>
            </w:r>
          </w:p>
          <w:p w14:paraId="1FB52987" w14:textId="77777777" w:rsidR="004D70A6" w:rsidRDefault="00C9062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85"/>
            </w:pPr>
            <w:r>
              <w:rPr>
                <w:rFonts w:ascii="Calibri" w:eastAsia="Calibri" w:hAnsi="Calibri" w:cs="Calibri"/>
                <w:color w:val="000000"/>
              </w:rPr>
              <w:t>Cztery na małe kawałki 1 lub 5</w:t>
            </w:r>
          </w:p>
          <w:p w14:paraId="0406E92D" w14:textId="77777777" w:rsidR="004D70A6" w:rsidRDefault="00C9062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85"/>
            </w:pPr>
            <w:r>
              <w:rPr>
                <w:rFonts w:ascii="Calibri" w:eastAsia="Calibri" w:hAnsi="Calibri" w:cs="Calibri"/>
                <w:color w:val="000000"/>
              </w:rPr>
              <w:t>Dwa na małe kawałki 3 lub 4</w:t>
            </w:r>
          </w:p>
          <w:p w14:paraId="182C219E" w14:textId="77777777" w:rsidR="004D70A6" w:rsidRDefault="004D70A6"/>
          <w:p w14:paraId="70125BB3" w14:textId="77777777" w:rsidR="004D70A6" w:rsidRDefault="00C906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09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FFD566C" wp14:editId="24E93F05">
                  <wp:extent cx="3600000" cy="360000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54CFCD" w14:textId="77777777" w:rsidR="004D70A6" w:rsidRDefault="00C90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18"/>
                <w:szCs w:val="18"/>
              </w:rPr>
              <w:t>Rysunek 2. Przykładowy projekt przystawki.</w:t>
            </w:r>
          </w:p>
        </w:tc>
      </w:tr>
      <w:tr w:rsidR="004D70A6" w14:paraId="4E09ACEB" w14:textId="77777777">
        <w:tc>
          <w:tcPr>
            <w:tcW w:w="460" w:type="dxa"/>
          </w:tcPr>
          <w:p w14:paraId="5FDDDAF7" w14:textId="77777777" w:rsidR="004D70A6" w:rsidRDefault="00C9062A">
            <w:r>
              <w:t>56</w:t>
            </w:r>
          </w:p>
        </w:tc>
        <w:tc>
          <w:tcPr>
            <w:tcW w:w="2219" w:type="dxa"/>
          </w:tcPr>
          <w:p w14:paraId="5D2616C3" w14:textId="77777777" w:rsidR="004D70A6" w:rsidRDefault="00C9062A">
            <w:r>
              <w:t>Platformy pomocnicze</w:t>
            </w:r>
          </w:p>
        </w:tc>
        <w:tc>
          <w:tcPr>
            <w:tcW w:w="6383" w:type="dxa"/>
          </w:tcPr>
          <w:p w14:paraId="1944194C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dwa stoliki ceramiczne do umieszczania podłoży kalibracyjnych w celu dokładnej kalibracji RF</w:t>
            </w:r>
          </w:p>
          <w:p w14:paraId="648B4602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Co najmniej dwa stoliki do mocowania podłoża do czyszczenia styków, z ręcznym sterowaniem podciśnieniem</w:t>
            </w:r>
          </w:p>
        </w:tc>
      </w:tr>
      <w:tr w:rsidR="004D70A6" w14:paraId="47D33C55" w14:textId="77777777">
        <w:tc>
          <w:tcPr>
            <w:tcW w:w="460" w:type="dxa"/>
          </w:tcPr>
          <w:p w14:paraId="643B8651" w14:textId="77777777" w:rsidR="004D70A6" w:rsidRDefault="004D70A6"/>
        </w:tc>
        <w:tc>
          <w:tcPr>
            <w:tcW w:w="8602" w:type="dxa"/>
            <w:gridSpan w:val="2"/>
          </w:tcPr>
          <w:p w14:paraId="5A9CAE30" w14:textId="77777777" w:rsidR="004D70A6" w:rsidRDefault="00C9062A">
            <w:pPr>
              <w:jc w:val="center"/>
              <w:rPr>
                <w:b/>
              </w:rPr>
            </w:pPr>
            <w:r>
              <w:rPr>
                <w:b/>
              </w:rPr>
              <w:t>Oprogramowanie</w:t>
            </w:r>
          </w:p>
        </w:tc>
      </w:tr>
      <w:tr w:rsidR="004D70A6" w14:paraId="5F28F3B7" w14:textId="77777777">
        <w:tc>
          <w:tcPr>
            <w:tcW w:w="460" w:type="dxa"/>
          </w:tcPr>
          <w:p w14:paraId="0DBE5B01" w14:textId="77777777" w:rsidR="004D70A6" w:rsidRDefault="00C9062A">
            <w:r>
              <w:t>57</w:t>
            </w:r>
          </w:p>
        </w:tc>
        <w:tc>
          <w:tcPr>
            <w:tcW w:w="2219" w:type="dxa"/>
          </w:tcPr>
          <w:p w14:paraId="5AB5EBD6" w14:textId="77777777" w:rsidR="004D70A6" w:rsidRDefault="00C9062A">
            <w:r>
              <w:t>Oprogramowanie stacji pomiarowej</w:t>
            </w:r>
          </w:p>
        </w:tc>
        <w:tc>
          <w:tcPr>
            <w:tcW w:w="6383" w:type="dxa"/>
          </w:tcPr>
          <w:p w14:paraId="10254C9C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Ponowne ustawianie podłoża</w:t>
            </w:r>
          </w:p>
          <w:p w14:paraId="01F8A450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Definicja architektury wafla (mapy;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wafer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-map)</w:t>
            </w:r>
          </w:p>
          <w:p w14:paraId="3AC447E9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Grupowanie  mapy z pomiarami</w:t>
            </w:r>
          </w:p>
          <w:p w14:paraId="17078DFD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Nadzór ruchu stolika</w:t>
            </w:r>
          </w:p>
          <w:p w14:paraId="17DEF350" w14:textId="77777777" w:rsidR="004D70A6" w:rsidRDefault="00C906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Kontrola siły docisku</w:t>
            </w:r>
          </w:p>
        </w:tc>
      </w:tr>
      <w:tr w:rsidR="004D70A6" w14:paraId="37909EA6" w14:textId="77777777">
        <w:tc>
          <w:tcPr>
            <w:tcW w:w="460" w:type="dxa"/>
          </w:tcPr>
          <w:p w14:paraId="411AA167" w14:textId="77777777" w:rsidR="004D70A6" w:rsidRDefault="00C9062A">
            <w:r>
              <w:t>58</w:t>
            </w:r>
          </w:p>
        </w:tc>
        <w:tc>
          <w:tcPr>
            <w:tcW w:w="2219" w:type="dxa"/>
          </w:tcPr>
          <w:p w14:paraId="35AEB1CD" w14:textId="77777777" w:rsidR="004D70A6" w:rsidRDefault="00C9062A">
            <w:r>
              <w:t>Oprogramowanie pomiarowe</w:t>
            </w:r>
          </w:p>
        </w:tc>
        <w:tc>
          <w:tcPr>
            <w:tcW w:w="6383" w:type="dxa"/>
          </w:tcPr>
          <w:p w14:paraId="09E7E6F5" w14:textId="77777777" w:rsidR="004D70A6" w:rsidRDefault="00C90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Procedura automatycznego pomiaru</w:t>
            </w:r>
          </w:p>
          <w:p w14:paraId="2094048C" w14:textId="77777777" w:rsidR="004D70A6" w:rsidRDefault="00C90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Inicjalizacja mapy na stacji pomiarowej</w:t>
            </w:r>
          </w:p>
          <w:p w14:paraId="697F2388" w14:textId="77777777" w:rsidR="004D70A6" w:rsidRDefault="00C90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Pozyskiwanie danych</w:t>
            </w:r>
          </w:p>
          <w:p w14:paraId="4D830CD8" w14:textId="77777777" w:rsidR="004D70A6" w:rsidRDefault="00C906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Eksport danych do bazy danych</w:t>
            </w:r>
          </w:p>
        </w:tc>
      </w:tr>
      <w:tr w:rsidR="004D70A6" w14:paraId="69D9EADE" w14:textId="77777777">
        <w:tc>
          <w:tcPr>
            <w:tcW w:w="460" w:type="dxa"/>
          </w:tcPr>
          <w:p w14:paraId="42231A86" w14:textId="77777777" w:rsidR="004D70A6" w:rsidRDefault="00C9062A">
            <w:r>
              <w:t>59</w:t>
            </w:r>
          </w:p>
        </w:tc>
        <w:tc>
          <w:tcPr>
            <w:tcW w:w="2219" w:type="dxa"/>
          </w:tcPr>
          <w:p w14:paraId="57BD66D0" w14:textId="77777777" w:rsidR="004D70A6" w:rsidRDefault="00C9062A">
            <w:r>
              <w:t>Zaawansowane oprogramowanie i integracja oprogramowania</w:t>
            </w:r>
          </w:p>
        </w:tc>
        <w:tc>
          <w:tcPr>
            <w:tcW w:w="6383" w:type="dxa"/>
          </w:tcPr>
          <w:p w14:paraId="181E1521" w14:textId="77777777" w:rsidR="004D70A6" w:rsidRDefault="00C9062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Pomiary jedno- i wielowaflowe</w:t>
            </w:r>
          </w:p>
          <w:p w14:paraId="551D451D" w14:textId="77777777" w:rsidR="004D70A6" w:rsidRDefault="00C9062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Procedura pomiarowa inicjowana przez zewnętrzne, oprogramowanie Zamawiającego</w:t>
            </w:r>
          </w:p>
          <w:p w14:paraId="5EF1573B" w14:textId="77777777" w:rsidR="004D70A6" w:rsidRDefault="00C9062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Ustawienia parametrów stacji/pomiaru definiowane również przez zewnętrzne oprogramowanie Zamawiającego</w:t>
            </w:r>
          </w:p>
          <w:p w14:paraId="6BAC4946" w14:textId="77777777" w:rsidR="004D70A6" w:rsidRDefault="00C9062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Wykonywanie pomiarów na podłożach o różnych kształtach i tej samej odległości między polami kontaktowymi w tej samej temperaturze</w:t>
            </w:r>
          </w:p>
          <w:p w14:paraId="4B83F046" w14:textId="77777777" w:rsidR="004D70A6" w:rsidRDefault="00C9062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Kompatybilność z przystawką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add-on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do podłoży o niestandardowych kształtach</w:t>
            </w:r>
          </w:p>
          <w:p w14:paraId="1FA5925C" w14:textId="77777777" w:rsidR="004D70A6" w:rsidRDefault="00C9062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Nieograniczone projektowanie nowych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architektur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 konfiguracji przystawek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add-on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14:paraId="2DECA099" w14:textId="77777777" w:rsidR="004D70A6" w:rsidRDefault="00C9062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Możliwość integracji z zewnętrzną bazą danych oprogramowania Zamawiającego i oprogramowaniem do analizy danych</w:t>
            </w:r>
          </w:p>
        </w:tc>
      </w:tr>
      <w:tr w:rsidR="004D70A6" w14:paraId="680103A4" w14:textId="77777777">
        <w:tc>
          <w:tcPr>
            <w:tcW w:w="9062" w:type="dxa"/>
            <w:gridSpan w:val="3"/>
          </w:tcPr>
          <w:p w14:paraId="681425F5" w14:textId="77777777" w:rsidR="004D70A6" w:rsidRDefault="00C9062A">
            <w:pPr>
              <w:jc w:val="center"/>
              <w:rPr>
                <w:b/>
              </w:rPr>
            </w:pPr>
            <w:r>
              <w:rPr>
                <w:b/>
              </w:rPr>
              <w:t>Testowanie</w:t>
            </w:r>
          </w:p>
        </w:tc>
      </w:tr>
      <w:tr w:rsidR="004D70A6" w14:paraId="4495BA32" w14:textId="77777777">
        <w:tc>
          <w:tcPr>
            <w:tcW w:w="460" w:type="dxa"/>
          </w:tcPr>
          <w:p w14:paraId="09F58A0A" w14:textId="77777777" w:rsidR="004D70A6" w:rsidRDefault="00C9062A">
            <w:r>
              <w:t>60</w:t>
            </w:r>
          </w:p>
        </w:tc>
        <w:tc>
          <w:tcPr>
            <w:tcW w:w="2219" w:type="dxa"/>
          </w:tcPr>
          <w:p w14:paraId="2BBD64D8" w14:textId="77777777" w:rsidR="004D70A6" w:rsidRPr="0090280C" w:rsidRDefault="00C9062A">
            <w:pPr>
              <w:rPr>
                <w:lang w:val="en-US"/>
              </w:rPr>
            </w:pPr>
            <w:proofErr w:type="spellStart"/>
            <w:r w:rsidRPr="0090280C">
              <w:rPr>
                <w:lang w:val="en-US"/>
              </w:rPr>
              <w:t>Tesy</w:t>
            </w:r>
            <w:proofErr w:type="spellEnd"/>
            <w:r w:rsidRPr="0090280C">
              <w:rPr>
                <w:lang w:val="en-US"/>
              </w:rPr>
              <w:t xml:space="preserve"> </w:t>
            </w:r>
            <w:proofErr w:type="spellStart"/>
            <w:r w:rsidRPr="0090280C">
              <w:rPr>
                <w:lang w:val="en-US"/>
              </w:rPr>
              <w:t>akceptacyjne</w:t>
            </w:r>
            <w:proofErr w:type="spellEnd"/>
            <w:r w:rsidRPr="0090280C">
              <w:rPr>
                <w:lang w:val="en-US"/>
              </w:rPr>
              <w:t xml:space="preserve"> (Site Acceptance Test, SAT)</w:t>
            </w:r>
          </w:p>
        </w:tc>
        <w:tc>
          <w:tcPr>
            <w:tcW w:w="6383" w:type="dxa"/>
          </w:tcPr>
          <w:p w14:paraId="1BD289B0" w14:textId="77777777" w:rsidR="004D70A6" w:rsidRDefault="00C9062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Testy odbioru końcowego po dostawie i instalacji systemu</w:t>
            </w:r>
          </w:p>
          <w:p w14:paraId="76F8E8E5" w14:textId="77777777" w:rsidR="004D70A6" w:rsidRDefault="00C9062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Calibri" w:eastAsia="Calibri" w:hAnsi="Calibri" w:cs="Calibri"/>
                <w:color w:val="000000"/>
              </w:rPr>
              <w:t>Pomiary charakterystyk I-V kilku wybranych detektorów z metalizacją złotą i z metalizacją indową</w:t>
            </w:r>
          </w:p>
          <w:p w14:paraId="460B8FBA" w14:textId="77777777" w:rsidR="004D70A6" w:rsidRDefault="00C9062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>Definicja procedury zbliżeniowej dla miękkiej metalizacji (ind)</w:t>
            </w:r>
          </w:p>
        </w:tc>
      </w:tr>
    </w:tbl>
    <w:p w14:paraId="3F14F205" w14:textId="77777777" w:rsidR="004D70A6" w:rsidRDefault="004D70A6"/>
    <w:p w14:paraId="21958C33" w14:textId="77777777" w:rsidR="004D70A6" w:rsidRDefault="00C9062A">
      <w:pPr>
        <w:numPr>
          <w:ilvl w:val="0"/>
          <w:numId w:val="2"/>
        </w:numPr>
        <w:spacing w:after="0" w:line="360" w:lineRule="auto"/>
        <w:jc w:val="both"/>
      </w:pPr>
      <w:r>
        <w:rPr>
          <w:b/>
          <w:u w:val="single"/>
        </w:rPr>
        <w:t>Informacje dodatkowe</w:t>
      </w:r>
    </w:p>
    <w:p w14:paraId="013046F7" w14:textId="77777777" w:rsidR="004D70A6" w:rsidRDefault="00C9062A">
      <w:pPr>
        <w:jc w:val="both"/>
      </w:pPr>
      <w:r>
        <w:t>Dostarczone elementy mają być nowe, nieużywane. Opakowanie systemu ma zapewnić bezpieczeństwo urządzenia i elementów systemu w czasie transportu jak i składowania. Elementy zostaną sprawdzone pod kątem zgodności ze specyfikacją zawartą w szczegółowym opisie przedmiotu zamówienia i w przypadku stwierdzenia niezgodności z parametrami elementy zostaną zwrócone do Wykonawcy. Kwestie odpowiedzialności Wykonawcy za niezgodność dostarczonego towaru ze specyfikacją techniczną zawartą w szczegółowym opisie przedmiotu zamówienia reguluje Umowa dostawy, która zostanie zawarta pomiędzy Wykonawcą a Zamawiającym.</w:t>
      </w:r>
    </w:p>
    <w:sectPr w:rsidR="004D70A6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FD10" w14:textId="77777777" w:rsidR="002C4362" w:rsidRDefault="002C4362">
      <w:pPr>
        <w:spacing w:after="0" w:line="240" w:lineRule="auto"/>
      </w:pPr>
      <w:r>
        <w:separator/>
      </w:r>
    </w:p>
  </w:endnote>
  <w:endnote w:type="continuationSeparator" w:id="0">
    <w:p w14:paraId="23E850E1" w14:textId="77777777" w:rsidR="002C4362" w:rsidRDefault="002C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6056" w14:textId="77777777" w:rsidR="002C4362" w:rsidRDefault="002C4362">
      <w:pPr>
        <w:spacing w:after="0" w:line="240" w:lineRule="auto"/>
      </w:pPr>
      <w:r>
        <w:separator/>
      </w:r>
    </w:p>
  </w:footnote>
  <w:footnote w:type="continuationSeparator" w:id="0">
    <w:p w14:paraId="1D7BB9C8" w14:textId="77777777" w:rsidR="002C4362" w:rsidRDefault="002C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F3D8" w14:textId="6ADEA989" w:rsidR="004D70A6" w:rsidRDefault="006A1B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24E2DC64" wp14:editId="38568951">
          <wp:extent cx="5761355" cy="792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062A">
      <w:rPr>
        <w:color w:val="000000"/>
        <w:sz w:val="20"/>
        <w:szCs w:val="20"/>
      </w:rPr>
      <w:t xml:space="preserve">Strona </w:t>
    </w:r>
    <w:r w:rsidR="00C9062A">
      <w:rPr>
        <w:b/>
        <w:color w:val="000000"/>
        <w:sz w:val="20"/>
        <w:szCs w:val="20"/>
      </w:rPr>
      <w:fldChar w:fldCharType="begin"/>
    </w:r>
    <w:r w:rsidR="00C9062A">
      <w:rPr>
        <w:b/>
        <w:color w:val="000000"/>
        <w:sz w:val="20"/>
        <w:szCs w:val="20"/>
      </w:rPr>
      <w:instrText>PAGE</w:instrText>
    </w:r>
    <w:r w:rsidR="00C9062A">
      <w:rPr>
        <w:b/>
        <w:color w:val="000000"/>
        <w:sz w:val="20"/>
        <w:szCs w:val="20"/>
      </w:rPr>
      <w:fldChar w:fldCharType="separate"/>
    </w:r>
    <w:r w:rsidR="00372A73">
      <w:rPr>
        <w:b/>
        <w:noProof/>
        <w:color w:val="000000"/>
        <w:sz w:val="20"/>
        <w:szCs w:val="20"/>
      </w:rPr>
      <w:t>1</w:t>
    </w:r>
    <w:r w:rsidR="00C9062A">
      <w:rPr>
        <w:b/>
        <w:color w:val="000000"/>
        <w:sz w:val="20"/>
        <w:szCs w:val="20"/>
      </w:rPr>
      <w:fldChar w:fldCharType="end"/>
    </w:r>
    <w:r w:rsidR="00C9062A">
      <w:rPr>
        <w:b/>
        <w:color w:val="000000"/>
        <w:sz w:val="20"/>
        <w:szCs w:val="20"/>
      </w:rPr>
      <w:t xml:space="preserve"> </w:t>
    </w:r>
    <w:r w:rsidR="00C9062A">
      <w:rPr>
        <w:color w:val="000000"/>
        <w:sz w:val="20"/>
        <w:szCs w:val="20"/>
      </w:rPr>
      <w:t xml:space="preserve">z </w:t>
    </w:r>
    <w:r w:rsidR="00C9062A">
      <w:rPr>
        <w:b/>
        <w:color w:val="000000"/>
        <w:sz w:val="20"/>
        <w:szCs w:val="20"/>
      </w:rPr>
      <w:fldChar w:fldCharType="begin"/>
    </w:r>
    <w:r w:rsidR="00C9062A">
      <w:rPr>
        <w:b/>
        <w:color w:val="000000"/>
        <w:sz w:val="20"/>
        <w:szCs w:val="20"/>
      </w:rPr>
      <w:instrText>NUMPAGES</w:instrText>
    </w:r>
    <w:r w:rsidR="00C9062A">
      <w:rPr>
        <w:b/>
        <w:color w:val="000000"/>
        <w:sz w:val="20"/>
        <w:szCs w:val="20"/>
      </w:rPr>
      <w:fldChar w:fldCharType="separate"/>
    </w:r>
    <w:r w:rsidR="00372A73">
      <w:rPr>
        <w:b/>
        <w:noProof/>
        <w:color w:val="000000"/>
        <w:sz w:val="20"/>
        <w:szCs w:val="20"/>
      </w:rPr>
      <w:t>1</w:t>
    </w:r>
    <w:r w:rsidR="00C9062A">
      <w:rPr>
        <w:b/>
        <w:color w:val="000000"/>
        <w:sz w:val="20"/>
        <w:szCs w:val="20"/>
      </w:rPr>
      <w:fldChar w:fldCharType="end"/>
    </w:r>
  </w:p>
  <w:p w14:paraId="4AFF0A8B" w14:textId="77777777" w:rsidR="004D70A6" w:rsidRDefault="004D70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A42"/>
    <w:multiLevelType w:val="multilevel"/>
    <w:tmpl w:val="E0D629A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" w15:restartNumberingAfterBreak="0">
    <w:nsid w:val="04D92B63"/>
    <w:multiLevelType w:val="multilevel"/>
    <w:tmpl w:val="4F76E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03128"/>
    <w:multiLevelType w:val="multilevel"/>
    <w:tmpl w:val="19286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1A4E08"/>
    <w:multiLevelType w:val="multilevel"/>
    <w:tmpl w:val="94E6E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F8463F"/>
    <w:multiLevelType w:val="multilevel"/>
    <w:tmpl w:val="26F62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6C6643"/>
    <w:multiLevelType w:val="multilevel"/>
    <w:tmpl w:val="D922A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0D5479"/>
    <w:multiLevelType w:val="multilevel"/>
    <w:tmpl w:val="D7AC5BE8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179F0"/>
    <w:multiLevelType w:val="multilevel"/>
    <w:tmpl w:val="6F545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2E2777"/>
    <w:multiLevelType w:val="multilevel"/>
    <w:tmpl w:val="67A6D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625B22"/>
    <w:multiLevelType w:val="multilevel"/>
    <w:tmpl w:val="F012A91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6F3E83"/>
    <w:multiLevelType w:val="multilevel"/>
    <w:tmpl w:val="07C0B0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F3743E9"/>
    <w:multiLevelType w:val="multilevel"/>
    <w:tmpl w:val="F350E38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591612E"/>
    <w:multiLevelType w:val="multilevel"/>
    <w:tmpl w:val="E9482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273CD5"/>
    <w:multiLevelType w:val="multilevel"/>
    <w:tmpl w:val="098A4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DF7D7E"/>
    <w:multiLevelType w:val="multilevel"/>
    <w:tmpl w:val="248A1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C86097"/>
    <w:multiLevelType w:val="multilevel"/>
    <w:tmpl w:val="8C5640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0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EA67E5"/>
    <w:multiLevelType w:val="multilevel"/>
    <w:tmpl w:val="F21CDC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536A3B"/>
    <w:multiLevelType w:val="multilevel"/>
    <w:tmpl w:val="2F3EA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7732B4"/>
    <w:multiLevelType w:val="multilevel"/>
    <w:tmpl w:val="A77EF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BD6311"/>
    <w:multiLevelType w:val="multilevel"/>
    <w:tmpl w:val="8B0A70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E37"/>
    <w:multiLevelType w:val="multilevel"/>
    <w:tmpl w:val="FE86E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5A5982"/>
    <w:multiLevelType w:val="multilevel"/>
    <w:tmpl w:val="3CFCF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753BB8"/>
    <w:multiLevelType w:val="multilevel"/>
    <w:tmpl w:val="9FE6E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0E90E9D"/>
    <w:multiLevelType w:val="multilevel"/>
    <w:tmpl w:val="811819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3D351C8"/>
    <w:multiLevelType w:val="multilevel"/>
    <w:tmpl w:val="37647D9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76B431B"/>
    <w:multiLevelType w:val="multilevel"/>
    <w:tmpl w:val="326E2D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17420F"/>
    <w:multiLevelType w:val="multilevel"/>
    <w:tmpl w:val="11D80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C9E2F91"/>
    <w:multiLevelType w:val="multilevel"/>
    <w:tmpl w:val="0D6EA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B93B85"/>
    <w:multiLevelType w:val="multilevel"/>
    <w:tmpl w:val="4F5CD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0B77EC"/>
    <w:multiLevelType w:val="multilevel"/>
    <w:tmpl w:val="B2086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0C20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79796095"/>
    <w:multiLevelType w:val="multilevel"/>
    <w:tmpl w:val="DDE06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1D467E"/>
    <w:multiLevelType w:val="multilevel"/>
    <w:tmpl w:val="12BAD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27"/>
  </w:num>
  <w:num w:numId="7">
    <w:abstractNumId w:val="24"/>
  </w:num>
  <w:num w:numId="8">
    <w:abstractNumId w:val="14"/>
  </w:num>
  <w:num w:numId="9">
    <w:abstractNumId w:val="3"/>
  </w:num>
  <w:num w:numId="10">
    <w:abstractNumId w:val="28"/>
  </w:num>
  <w:num w:numId="11">
    <w:abstractNumId w:val="25"/>
  </w:num>
  <w:num w:numId="12">
    <w:abstractNumId w:val="8"/>
  </w:num>
  <w:num w:numId="13">
    <w:abstractNumId w:val="31"/>
  </w:num>
  <w:num w:numId="14">
    <w:abstractNumId w:val="26"/>
  </w:num>
  <w:num w:numId="15">
    <w:abstractNumId w:val="13"/>
  </w:num>
  <w:num w:numId="16">
    <w:abstractNumId w:val="1"/>
  </w:num>
  <w:num w:numId="17">
    <w:abstractNumId w:val="18"/>
  </w:num>
  <w:num w:numId="18">
    <w:abstractNumId w:val="0"/>
  </w:num>
  <w:num w:numId="19">
    <w:abstractNumId w:val="9"/>
  </w:num>
  <w:num w:numId="20">
    <w:abstractNumId w:val="16"/>
  </w:num>
  <w:num w:numId="21">
    <w:abstractNumId w:val="29"/>
  </w:num>
  <w:num w:numId="22">
    <w:abstractNumId w:val="2"/>
  </w:num>
  <w:num w:numId="23">
    <w:abstractNumId w:val="11"/>
  </w:num>
  <w:num w:numId="24">
    <w:abstractNumId w:val="21"/>
  </w:num>
  <w:num w:numId="25">
    <w:abstractNumId w:val="32"/>
  </w:num>
  <w:num w:numId="26">
    <w:abstractNumId w:val="20"/>
  </w:num>
  <w:num w:numId="27">
    <w:abstractNumId w:val="15"/>
  </w:num>
  <w:num w:numId="28">
    <w:abstractNumId w:val="4"/>
  </w:num>
  <w:num w:numId="29">
    <w:abstractNumId w:val="22"/>
  </w:num>
  <w:num w:numId="30">
    <w:abstractNumId w:val="19"/>
  </w:num>
  <w:num w:numId="31">
    <w:abstractNumId w:val="23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A6"/>
    <w:rsid w:val="00104A00"/>
    <w:rsid w:val="002C4362"/>
    <w:rsid w:val="00372A73"/>
    <w:rsid w:val="003E46BB"/>
    <w:rsid w:val="004D70A6"/>
    <w:rsid w:val="00527CD3"/>
    <w:rsid w:val="006A1B70"/>
    <w:rsid w:val="008800C2"/>
    <w:rsid w:val="0090280C"/>
    <w:rsid w:val="00951E97"/>
    <w:rsid w:val="00AF31BB"/>
    <w:rsid w:val="00B30662"/>
    <w:rsid w:val="00B5360F"/>
    <w:rsid w:val="00BF76D2"/>
    <w:rsid w:val="00C9062A"/>
    <w:rsid w:val="00CB65E5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4D376"/>
  <w15:docId w15:val="{B63AC55D-87B5-4650-A91F-477EE080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B70"/>
  </w:style>
  <w:style w:type="paragraph" w:styleId="Stopka">
    <w:name w:val="footer"/>
    <w:basedOn w:val="Normalny"/>
    <w:link w:val="StopkaZnak"/>
    <w:uiPriority w:val="99"/>
    <w:unhideWhenUsed/>
    <w:rsid w:val="006A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B70"/>
  </w:style>
  <w:style w:type="paragraph" w:styleId="Akapitzlist">
    <w:name w:val="List Paragraph"/>
    <w:basedOn w:val="Normalny"/>
    <w:rsid w:val="00FF633F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2166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Ratajczyk</dc:creator>
  <cp:lastModifiedBy>Dominik Nowak</cp:lastModifiedBy>
  <cp:revision>9</cp:revision>
  <dcterms:created xsi:type="dcterms:W3CDTF">2020-12-31T12:17:00Z</dcterms:created>
  <dcterms:modified xsi:type="dcterms:W3CDTF">2021-01-29T14:06:00Z</dcterms:modified>
</cp:coreProperties>
</file>