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179FB" w14:textId="77777777" w:rsidR="00DD388D" w:rsidRDefault="00B3037B">
      <w:pPr>
        <w:spacing w:before="100" w:after="0" w:line="360" w:lineRule="auto"/>
        <w:jc w:val="center"/>
        <w:rPr>
          <w:b/>
        </w:rPr>
      </w:pPr>
      <w:r>
        <w:rPr>
          <w:b/>
        </w:rPr>
        <w:t>ORDER DESCRIPTION</w:t>
      </w:r>
    </w:p>
    <w:p w14:paraId="47314390" w14:textId="77777777" w:rsidR="00DD388D" w:rsidRDefault="00B3037B">
      <w:pPr>
        <w:numPr>
          <w:ilvl w:val="0"/>
          <w:numId w:val="2"/>
        </w:numPr>
        <w:pBdr>
          <w:top w:val="nil"/>
          <w:left w:val="nil"/>
          <w:bottom w:val="nil"/>
          <w:right w:val="nil"/>
          <w:between w:val="nil"/>
        </w:pBdr>
        <w:spacing w:after="0" w:line="360" w:lineRule="auto"/>
        <w:rPr>
          <w:b/>
          <w:color w:val="000000"/>
          <w:u w:val="single"/>
        </w:rPr>
      </w:pPr>
      <w:r>
        <w:rPr>
          <w:b/>
          <w:color w:val="000000"/>
          <w:u w:val="single"/>
        </w:rPr>
        <w:t>Object of the contract</w:t>
      </w:r>
    </w:p>
    <w:p w14:paraId="47F9B9B0" w14:textId="77777777" w:rsidR="00DD388D" w:rsidRDefault="00B3037B">
      <w:pPr>
        <w:spacing w:after="0" w:line="240" w:lineRule="auto"/>
        <w:ind w:left="567"/>
        <w:jc w:val="both"/>
      </w:pPr>
      <w:r>
        <w:t>The subject of the order is the supply of organometallic compounds in specialized containers (bubbler), listed below by name and quantity needed:</w:t>
      </w:r>
    </w:p>
    <w:p w14:paraId="52556EA0" w14:textId="77777777" w:rsidR="00DD388D" w:rsidRDefault="00DD388D">
      <w:pPr>
        <w:pBdr>
          <w:top w:val="nil"/>
          <w:left w:val="nil"/>
          <w:bottom w:val="nil"/>
          <w:right w:val="nil"/>
          <w:between w:val="nil"/>
        </w:pBdr>
        <w:spacing w:before="100" w:after="0" w:line="240" w:lineRule="auto"/>
        <w:ind w:left="770"/>
        <w:jc w:val="both"/>
        <w:rPr>
          <w:color w:val="000000"/>
        </w:rPr>
      </w:pPr>
      <w:bookmarkStart w:id="0" w:name="_heading=h.gjdgxs" w:colFirst="0" w:colLast="0"/>
      <w:bookmarkEnd w:id="0"/>
    </w:p>
    <w:p w14:paraId="3281DA39" w14:textId="77777777" w:rsidR="00DD388D" w:rsidRDefault="00B3037B">
      <w:pPr>
        <w:pBdr>
          <w:top w:val="nil"/>
          <w:left w:val="nil"/>
          <w:bottom w:val="nil"/>
          <w:right w:val="nil"/>
          <w:between w:val="nil"/>
        </w:pBdr>
        <w:spacing w:after="0" w:line="240" w:lineRule="auto"/>
        <w:ind w:left="770"/>
        <w:jc w:val="both"/>
        <w:rPr>
          <w:b/>
          <w:color w:val="000000"/>
          <w:sz w:val="20"/>
          <w:szCs w:val="20"/>
        </w:rPr>
      </w:pPr>
      <w:r>
        <w:t>1</w:t>
      </w:r>
      <w:r>
        <w:rPr>
          <w:color w:val="000000"/>
        </w:rPr>
        <w:t xml:space="preserve">. </w:t>
      </w:r>
      <w:r>
        <w:rPr>
          <w:color w:val="000000"/>
          <w:sz w:val="20"/>
          <w:szCs w:val="20"/>
        </w:rPr>
        <w:t xml:space="preserve">Trimethylgallium (TMGa OEG) </w:t>
      </w:r>
      <w:r>
        <w:rPr>
          <w:color w:val="000000"/>
          <w:sz w:val="20"/>
          <w:szCs w:val="20"/>
        </w:rPr>
        <w:tab/>
      </w:r>
      <w:r>
        <w:rPr>
          <w:color w:val="000000"/>
          <w:sz w:val="20"/>
          <w:szCs w:val="20"/>
        </w:rPr>
        <w:tab/>
      </w:r>
      <w:r>
        <w:rPr>
          <w:b/>
          <w:color w:val="000000"/>
          <w:sz w:val="20"/>
          <w:szCs w:val="20"/>
        </w:rPr>
        <w:t xml:space="preserve">1000g </w:t>
      </w:r>
      <w:r>
        <w:rPr>
          <w:b/>
          <w:color w:val="000000"/>
          <w:sz w:val="20"/>
          <w:szCs w:val="20"/>
        </w:rPr>
        <w:tab/>
        <w:t xml:space="preserve"> </w:t>
      </w:r>
      <w:r>
        <w:rPr>
          <w:b/>
          <w:sz w:val="20"/>
          <w:szCs w:val="20"/>
        </w:rPr>
        <w:t>1</w:t>
      </w:r>
      <w:r>
        <w:rPr>
          <w:b/>
          <w:color w:val="000000"/>
          <w:sz w:val="20"/>
          <w:szCs w:val="20"/>
        </w:rPr>
        <w:t xml:space="preserve"> piece</w:t>
      </w:r>
    </w:p>
    <w:p w14:paraId="3A9D9E57" w14:textId="77777777" w:rsidR="00DD388D" w:rsidRDefault="00DD388D">
      <w:pPr>
        <w:spacing w:after="0" w:line="240" w:lineRule="auto"/>
        <w:rPr>
          <w:b/>
          <w:color w:val="000000"/>
        </w:rPr>
      </w:pPr>
    </w:p>
    <w:p w14:paraId="2C30B770" w14:textId="77777777" w:rsidR="00DD388D" w:rsidRDefault="00B3037B">
      <w:pPr>
        <w:numPr>
          <w:ilvl w:val="0"/>
          <w:numId w:val="2"/>
        </w:numPr>
        <w:pBdr>
          <w:top w:val="nil"/>
          <w:left w:val="nil"/>
          <w:bottom w:val="nil"/>
          <w:right w:val="nil"/>
          <w:between w:val="nil"/>
        </w:pBdr>
        <w:spacing w:after="0" w:line="360" w:lineRule="auto"/>
        <w:rPr>
          <w:b/>
          <w:color w:val="000000"/>
          <w:u w:val="single"/>
        </w:rPr>
      </w:pPr>
      <w:r>
        <w:rPr>
          <w:b/>
          <w:color w:val="000000"/>
          <w:u w:val="single"/>
        </w:rPr>
        <w:t xml:space="preserve">Parameters </w:t>
      </w:r>
    </w:p>
    <w:tbl>
      <w:tblPr>
        <w:tblStyle w:val="a0"/>
        <w:tblW w:w="106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260"/>
        <w:gridCol w:w="5512"/>
      </w:tblGrid>
      <w:tr w:rsidR="00DD388D" w14:paraId="17BA9420" w14:textId="77777777">
        <w:trPr>
          <w:trHeight w:val="240"/>
        </w:trPr>
        <w:tc>
          <w:tcPr>
            <w:tcW w:w="1844" w:type="dxa"/>
            <w:shd w:val="clear" w:color="auto" w:fill="DDDDDD"/>
            <w:tcMar>
              <w:top w:w="55" w:type="dxa"/>
              <w:left w:w="55" w:type="dxa"/>
              <w:bottom w:w="55" w:type="dxa"/>
              <w:right w:w="55" w:type="dxa"/>
            </w:tcMar>
            <w:vAlign w:val="center"/>
          </w:tcPr>
          <w:p w14:paraId="63FA04B9" w14:textId="77777777" w:rsidR="00DD388D" w:rsidRDefault="00B3037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Product name</w:t>
            </w:r>
          </w:p>
        </w:tc>
        <w:tc>
          <w:tcPr>
            <w:tcW w:w="3260" w:type="dxa"/>
            <w:shd w:val="clear" w:color="auto" w:fill="DDDDDD"/>
            <w:tcMar>
              <w:top w:w="55" w:type="dxa"/>
              <w:left w:w="55" w:type="dxa"/>
              <w:bottom w:w="55" w:type="dxa"/>
              <w:right w:w="55" w:type="dxa"/>
            </w:tcMar>
          </w:tcPr>
          <w:p w14:paraId="09942086" w14:textId="77777777" w:rsidR="00DD388D" w:rsidRDefault="00B3037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Parametrer</w:t>
            </w:r>
          </w:p>
        </w:tc>
        <w:tc>
          <w:tcPr>
            <w:tcW w:w="5512" w:type="dxa"/>
            <w:shd w:val="clear" w:color="auto" w:fill="DDDDDD"/>
          </w:tcPr>
          <w:p w14:paraId="12B07D10" w14:textId="77777777" w:rsidR="00DD388D" w:rsidRDefault="00B3037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Specification</w:t>
            </w:r>
          </w:p>
        </w:tc>
      </w:tr>
      <w:tr w:rsidR="00DD388D" w14:paraId="11CF8CCF" w14:textId="77777777">
        <w:trPr>
          <w:trHeight w:val="240"/>
        </w:trPr>
        <w:tc>
          <w:tcPr>
            <w:tcW w:w="1844" w:type="dxa"/>
            <w:vMerge w:val="restart"/>
            <w:tcMar>
              <w:top w:w="55" w:type="dxa"/>
              <w:left w:w="55" w:type="dxa"/>
              <w:bottom w:w="55" w:type="dxa"/>
              <w:right w:w="55" w:type="dxa"/>
            </w:tcMar>
            <w:vAlign w:val="center"/>
          </w:tcPr>
          <w:p w14:paraId="6BD143C6" w14:textId="77777777" w:rsidR="00DD388D" w:rsidRDefault="00B3037B">
            <w:pPr>
              <w:widowControl w:val="0"/>
              <w:pBdr>
                <w:top w:val="nil"/>
                <w:left w:val="nil"/>
                <w:bottom w:val="nil"/>
                <w:right w:val="nil"/>
                <w:between w:val="nil"/>
              </w:pBdr>
              <w:spacing w:after="0"/>
              <w:ind w:left="720" w:hanging="720"/>
              <w:rPr>
                <w:color w:val="000000"/>
              </w:rPr>
            </w:pPr>
            <w:r>
              <w:t>Trimethylgallium TMGa</w:t>
            </w:r>
          </w:p>
        </w:tc>
        <w:tc>
          <w:tcPr>
            <w:tcW w:w="3260" w:type="dxa"/>
            <w:tcMar>
              <w:top w:w="55" w:type="dxa"/>
              <w:left w:w="55" w:type="dxa"/>
              <w:bottom w:w="55" w:type="dxa"/>
              <w:right w:w="55" w:type="dxa"/>
            </w:tcMar>
            <w:vAlign w:val="center"/>
          </w:tcPr>
          <w:p w14:paraId="5621ECF4" w14:textId="77777777" w:rsidR="00DD388D" w:rsidRDefault="00B3037B">
            <w:pPr>
              <w:spacing w:after="0" w:line="240" w:lineRule="auto"/>
              <w:rPr>
                <w:color w:val="000000"/>
              </w:rPr>
            </w:pPr>
            <w:r>
              <w:t>OPTO ELECTRONIC-GRADE</w:t>
            </w:r>
          </w:p>
        </w:tc>
        <w:tc>
          <w:tcPr>
            <w:tcW w:w="5512" w:type="dxa"/>
          </w:tcPr>
          <w:p w14:paraId="6E8C2760" w14:textId="77777777" w:rsidR="00DD388D" w:rsidRDefault="00DD388D">
            <w:pPr>
              <w:spacing w:after="0" w:line="240" w:lineRule="auto"/>
              <w:ind w:left="720"/>
              <w:rPr>
                <w:color w:val="000000"/>
              </w:rPr>
            </w:pPr>
          </w:p>
        </w:tc>
      </w:tr>
      <w:tr w:rsidR="00DD388D" w14:paraId="78A2802C" w14:textId="77777777">
        <w:trPr>
          <w:trHeight w:val="240"/>
        </w:trPr>
        <w:tc>
          <w:tcPr>
            <w:tcW w:w="1844" w:type="dxa"/>
            <w:vMerge/>
            <w:tcMar>
              <w:top w:w="55" w:type="dxa"/>
              <w:left w:w="55" w:type="dxa"/>
              <w:bottom w:w="55" w:type="dxa"/>
              <w:right w:w="55" w:type="dxa"/>
            </w:tcMar>
            <w:vAlign w:val="center"/>
          </w:tcPr>
          <w:p w14:paraId="62598949" w14:textId="77777777" w:rsidR="00DD388D" w:rsidRDefault="00DD388D">
            <w:pPr>
              <w:widowControl w:val="0"/>
              <w:pBdr>
                <w:top w:val="nil"/>
                <w:left w:val="nil"/>
                <w:bottom w:val="nil"/>
                <w:right w:val="nil"/>
                <w:between w:val="nil"/>
              </w:pBdr>
              <w:spacing w:after="0"/>
              <w:rPr>
                <w:color w:val="000000"/>
              </w:rPr>
            </w:pPr>
          </w:p>
        </w:tc>
        <w:tc>
          <w:tcPr>
            <w:tcW w:w="3260" w:type="dxa"/>
            <w:tcMar>
              <w:top w:w="55" w:type="dxa"/>
              <w:left w:w="55" w:type="dxa"/>
              <w:bottom w:w="55" w:type="dxa"/>
              <w:right w:w="55" w:type="dxa"/>
            </w:tcMar>
            <w:vAlign w:val="center"/>
          </w:tcPr>
          <w:p w14:paraId="1FF4962E" w14:textId="77777777" w:rsidR="00DD388D" w:rsidRDefault="00B3037B">
            <w:pPr>
              <w:spacing w:after="0" w:line="240" w:lineRule="auto"/>
            </w:pPr>
            <w:r>
              <w:t xml:space="preserve">Metal purity: </w:t>
            </w:r>
          </w:p>
        </w:tc>
        <w:tc>
          <w:tcPr>
            <w:tcW w:w="5512" w:type="dxa"/>
          </w:tcPr>
          <w:p w14:paraId="05322254" w14:textId="77777777" w:rsidR="00DD388D" w:rsidRDefault="00B3037B">
            <w:pPr>
              <w:numPr>
                <w:ilvl w:val="0"/>
                <w:numId w:val="1"/>
              </w:numPr>
              <w:spacing w:after="0" w:line="240" w:lineRule="auto"/>
            </w:pPr>
            <w:r>
              <w:t xml:space="preserve">Gallium (unit: %): </w:t>
            </w:r>
          </w:p>
          <w:p w14:paraId="6F5BAC28" w14:textId="77777777" w:rsidR="00DD388D" w:rsidRDefault="00B3037B">
            <w:pPr>
              <w:numPr>
                <w:ilvl w:val="1"/>
                <w:numId w:val="1"/>
              </w:numPr>
              <w:spacing w:after="0" w:line="240" w:lineRule="auto"/>
            </w:pPr>
            <w:r>
              <w:t xml:space="preserve">Specification &gt; 99,9999 </w:t>
            </w:r>
          </w:p>
          <w:p w14:paraId="2AE86ADA" w14:textId="77777777" w:rsidR="00DD388D" w:rsidRDefault="00B3037B">
            <w:pPr>
              <w:numPr>
                <w:ilvl w:val="0"/>
                <w:numId w:val="1"/>
              </w:numPr>
              <w:spacing w:after="0" w:line="240" w:lineRule="auto"/>
            </w:pPr>
            <w:r>
              <w:rPr>
                <w:color w:val="000000"/>
              </w:rPr>
              <w:t>Oxygen (unit:PPM, NMR)</w:t>
            </w:r>
          </w:p>
          <w:p w14:paraId="3157EB76" w14:textId="77777777" w:rsidR="00DD388D" w:rsidRDefault="00B3037B">
            <w:pPr>
              <w:numPr>
                <w:ilvl w:val="1"/>
                <w:numId w:val="1"/>
              </w:numPr>
              <w:spacing w:after="0" w:line="240" w:lineRule="auto"/>
              <w:rPr>
                <w:color w:val="000000"/>
              </w:rPr>
            </w:pPr>
            <w:r>
              <w:t xml:space="preserve">LOD (limit of detection) &lt;0,5 </w:t>
            </w:r>
          </w:p>
          <w:p w14:paraId="14F0E589" w14:textId="77777777" w:rsidR="00DD388D" w:rsidRDefault="00B3037B">
            <w:pPr>
              <w:numPr>
                <w:ilvl w:val="1"/>
                <w:numId w:val="1"/>
              </w:numPr>
              <w:spacing w:after="0" w:line="240" w:lineRule="auto"/>
              <w:rPr>
                <w:color w:val="000000"/>
              </w:rPr>
            </w:pPr>
            <w:r>
              <w:t>Specification &lt; 1</w:t>
            </w:r>
          </w:p>
        </w:tc>
      </w:tr>
      <w:tr w:rsidR="00DD388D" w14:paraId="1F4BF472" w14:textId="77777777">
        <w:trPr>
          <w:trHeight w:val="240"/>
        </w:trPr>
        <w:tc>
          <w:tcPr>
            <w:tcW w:w="1844" w:type="dxa"/>
            <w:vMerge/>
            <w:tcMar>
              <w:top w:w="55" w:type="dxa"/>
              <w:left w:w="55" w:type="dxa"/>
              <w:bottom w:w="55" w:type="dxa"/>
              <w:right w:w="55" w:type="dxa"/>
            </w:tcMar>
            <w:vAlign w:val="center"/>
          </w:tcPr>
          <w:p w14:paraId="0D1C1C29" w14:textId="77777777" w:rsidR="00DD388D" w:rsidRDefault="00DD388D">
            <w:pPr>
              <w:widowControl w:val="0"/>
              <w:pBdr>
                <w:top w:val="nil"/>
                <w:left w:val="nil"/>
                <w:bottom w:val="nil"/>
                <w:right w:val="nil"/>
                <w:between w:val="nil"/>
              </w:pBdr>
              <w:spacing w:after="0"/>
              <w:rPr>
                <w:color w:val="000000"/>
              </w:rPr>
            </w:pPr>
          </w:p>
        </w:tc>
        <w:tc>
          <w:tcPr>
            <w:tcW w:w="3260" w:type="dxa"/>
            <w:tcMar>
              <w:top w:w="55" w:type="dxa"/>
              <w:left w:w="55" w:type="dxa"/>
              <w:bottom w:w="55" w:type="dxa"/>
              <w:right w:w="55" w:type="dxa"/>
            </w:tcMar>
            <w:vAlign w:val="center"/>
          </w:tcPr>
          <w:p w14:paraId="0A711442" w14:textId="77777777" w:rsidR="00DD388D" w:rsidRDefault="00B3037B">
            <w:pPr>
              <w:spacing w:after="0" w:line="240" w:lineRule="auto"/>
              <w:rPr>
                <w:color w:val="000000"/>
              </w:rPr>
            </w:pPr>
            <w:r>
              <w:rPr>
                <w:color w:val="000000"/>
              </w:rPr>
              <w:t xml:space="preserve">Metal impurities (ICP) (unit: PPM): </w:t>
            </w:r>
            <w:r>
              <w:t>Aluminium (Al), Antimony (Sb), Arsenic (As), Bismuth (Bi), Chromium (Cr), Copper (Cu), Germanium (Ge), Indium (In), Iron (Fe), Lead (Pb), Magnesium (Mg), Manganese (Mn), Selenium (Se), Phosphorous (P), Silicon (Si), Sulfur (S), Tellurium (Te), Tin (Sn), Zi</w:t>
            </w:r>
            <w:r>
              <w:t>nc (Zn)</w:t>
            </w:r>
          </w:p>
        </w:tc>
        <w:tc>
          <w:tcPr>
            <w:tcW w:w="5512" w:type="dxa"/>
          </w:tcPr>
          <w:p w14:paraId="2F22E6C5" w14:textId="77777777" w:rsidR="00DD388D" w:rsidRDefault="00B3037B">
            <w:pPr>
              <w:numPr>
                <w:ilvl w:val="0"/>
                <w:numId w:val="1"/>
              </w:numPr>
              <w:spacing w:after="0" w:line="240" w:lineRule="auto"/>
            </w:pPr>
            <w:r>
              <w:t>Specification &lt; 0,1</w:t>
            </w:r>
          </w:p>
          <w:p w14:paraId="68FBCF48" w14:textId="77777777" w:rsidR="00DD388D" w:rsidRDefault="00B3037B">
            <w:pPr>
              <w:numPr>
                <w:ilvl w:val="0"/>
                <w:numId w:val="1"/>
              </w:numPr>
              <w:spacing w:after="0" w:line="240" w:lineRule="auto"/>
              <w:rPr>
                <w:color w:val="000000"/>
              </w:rPr>
            </w:pPr>
            <w:r>
              <w:t>LOD (limit of detection) 0,01</w:t>
            </w:r>
          </w:p>
        </w:tc>
      </w:tr>
      <w:tr w:rsidR="00DD388D" w14:paraId="324033DA" w14:textId="77777777">
        <w:trPr>
          <w:trHeight w:val="240"/>
        </w:trPr>
        <w:tc>
          <w:tcPr>
            <w:tcW w:w="1844" w:type="dxa"/>
            <w:vMerge/>
            <w:tcMar>
              <w:top w:w="55" w:type="dxa"/>
              <w:left w:w="55" w:type="dxa"/>
              <w:bottom w:w="55" w:type="dxa"/>
              <w:right w:w="55" w:type="dxa"/>
            </w:tcMar>
            <w:vAlign w:val="center"/>
          </w:tcPr>
          <w:p w14:paraId="3FED737C" w14:textId="77777777" w:rsidR="00DD388D" w:rsidRDefault="00DD388D">
            <w:pPr>
              <w:widowControl w:val="0"/>
              <w:pBdr>
                <w:top w:val="nil"/>
                <w:left w:val="nil"/>
                <w:bottom w:val="nil"/>
                <w:right w:val="nil"/>
                <w:between w:val="nil"/>
              </w:pBdr>
              <w:spacing w:after="0"/>
              <w:rPr>
                <w:color w:val="000000"/>
              </w:rPr>
            </w:pPr>
          </w:p>
        </w:tc>
        <w:tc>
          <w:tcPr>
            <w:tcW w:w="3260" w:type="dxa"/>
            <w:tcMar>
              <w:top w:w="55" w:type="dxa"/>
              <w:left w:w="55" w:type="dxa"/>
              <w:bottom w:w="55" w:type="dxa"/>
              <w:right w:w="55" w:type="dxa"/>
            </w:tcMar>
            <w:vAlign w:val="center"/>
          </w:tcPr>
          <w:p w14:paraId="13742D1F" w14:textId="77777777" w:rsidR="00DD388D" w:rsidRDefault="00B3037B">
            <w:pPr>
              <w:spacing w:after="0" w:line="240" w:lineRule="auto"/>
              <w:rPr>
                <w:color w:val="000000"/>
              </w:rPr>
            </w:pPr>
            <w:r>
              <w:rPr>
                <w:color w:val="000000"/>
              </w:rPr>
              <w:t>Metal impurities:</w:t>
            </w:r>
          </w:p>
          <w:p w14:paraId="6AF3C644" w14:textId="77777777" w:rsidR="00DD388D" w:rsidRDefault="00B3037B">
            <w:pPr>
              <w:spacing w:after="0" w:line="240" w:lineRule="auto"/>
            </w:pPr>
            <w:r>
              <w:t>Cadmium (Cd), Mercury (Hg)</w:t>
            </w:r>
          </w:p>
        </w:tc>
        <w:tc>
          <w:tcPr>
            <w:tcW w:w="5512" w:type="dxa"/>
          </w:tcPr>
          <w:p w14:paraId="250A0DE6" w14:textId="77777777" w:rsidR="00DD388D" w:rsidRDefault="00B3037B">
            <w:pPr>
              <w:numPr>
                <w:ilvl w:val="0"/>
                <w:numId w:val="4"/>
              </w:numPr>
              <w:spacing w:after="0" w:line="240" w:lineRule="auto"/>
            </w:pPr>
            <w:r>
              <w:t>Specification &lt; 0,01</w:t>
            </w:r>
          </w:p>
          <w:p w14:paraId="0DC3F950" w14:textId="77777777" w:rsidR="00DD388D" w:rsidRDefault="00B3037B">
            <w:pPr>
              <w:numPr>
                <w:ilvl w:val="0"/>
                <w:numId w:val="4"/>
              </w:numPr>
              <w:pBdr>
                <w:top w:val="nil"/>
                <w:left w:val="nil"/>
                <w:bottom w:val="nil"/>
                <w:right w:val="nil"/>
                <w:between w:val="nil"/>
              </w:pBdr>
              <w:spacing w:after="0" w:line="240" w:lineRule="auto"/>
              <w:rPr>
                <w:color w:val="000000"/>
              </w:rPr>
            </w:pPr>
            <w:r>
              <w:rPr>
                <w:color w:val="000000"/>
              </w:rPr>
              <w:t>LOD (limit of detection) 0,001</w:t>
            </w:r>
          </w:p>
        </w:tc>
      </w:tr>
      <w:tr w:rsidR="00DD388D" w14:paraId="4E0E29D7" w14:textId="77777777">
        <w:trPr>
          <w:trHeight w:val="240"/>
        </w:trPr>
        <w:tc>
          <w:tcPr>
            <w:tcW w:w="1844" w:type="dxa"/>
            <w:vMerge/>
            <w:tcMar>
              <w:top w:w="55" w:type="dxa"/>
              <w:left w:w="55" w:type="dxa"/>
              <w:bottom w:w="55" w:type="dxa"/>
              <w:right w:w="55" w:type="dxa"/>
            </w:tcMar>
            <w:vAlign w:val="center"/>
          </w:tcPr>
          <w:p w14:paraId="6411F81A" w14:textId="77777777" w:rsidR="00DD388D" w:rsidRDefault="00DD388D">
            <w:pPr>
              <w:widowControl w:val="0"/>
              <w:pBdr>
                <w:top w:val="nil"/>
                <w:left w:val="nil"/>
                <w:bottom w:val="nil"/>
                <w:right w:val="nil"/>
                <w:between w:val="nil"/>
              </w:pBdr>
              <w:spacing w:after="0"/>
              <w:rPr>
                <w:color w:val="000000"/>
              </w:rPr>
            </w:pPr>
          </w:p>
        </w:tc>
        <w:tc>
          <w:tcPr>
            <w:tcW w:w="3260" w:type="dxa"/>
            <w:tcMar>
              <w:top w:w="55" w:type="dxa"/>
              <w:left w:w="55" w:type="dxa"/>
              <w:bottom w:w="55" w:type="dxa"/>
              <w:right w:w="55" w:type="dxa"/>
            </w:tcMar>
            <w:vAlign w:val="center"/>
          </w:tcPr>
          <w:p w14:paraId="2067E958" w14:textId="77777777" w:rsidR="00DD388D" w:rsidRDefault="00B3037B">
            <w:pPr>
              <w:spacing w:after="0" w:line="240" w:lineRule="auto"/>
              <w:rPr>
                <w:color w:val="000000"/>
              </w:rPr>
            </w:pPr>
            <w:r>
              <w:rPr>
                <w:color w:val="000000"/>
              </w:rPr>
              <w:t>Bubbler</w:t>
            </w:r>
          </w:p>
        </w:tc>
        <w:tc>
          <w:tcPr>
            <w:tcW w:w="5512" w:type="dxa"/>
          </w:tcPr>
          <w:p w14:paraId="4D6F9E06" w14:textId="77777777" w:rsidR="00DD388D" w:rsidRDefault="00B3037B">
            <w:pPr>
              <w:numPr>
                <w:ilvl w:val="0"/>
                <w:numId w:val="4"/>
              </w:numPr>
              <w:spacing w:after="0" w:line="240" w:lineRule="auto"/>
            </w:pPr>
            <w:r>
              <w:rPr>
                <w:color w:val="000000"/>
              </w:rPr>
              <w:t>With cross purge valve</w:t>
            </w:r>
          </w:p>
        </w:tc>
      </w:tr>
    </w:tbl>
    <w:p w14:paraId="1067F8E5" w14:textId="77777777" w:rsidR="00DD388D" w:rsidRDefault="00DD388D"/>
    <w:sectPr w:rsidR="00DD388D">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38FA" w14:textId="77777777" w:rsidR="00B3037B" w:rsidRDefault="00B3037B">
      <w:pPr>
        <w:spacing w:after="0" w:line="240" w:lineRule="auto"/>
      </w:pPr>
      <w:r>
        <w:separator/>
      </w:r>
    </w:p>
  </w:endnote>
  <w:endnote w:type="continuationSeparator" w:id="0">
    <w:p w14:paraId="32D24806" w14:textId="77777777" w:rsidR="00B3037B" w:rsidRDefault="00B3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C21C" w14:textId="77777777" w:rsidR="00B3037B" w:rsidRDefault="00B3037B">
      <w:pPr>
        <w:spacing w:after="0" w:line="240" w:lineRule="auto"/>
      </w:pPr>
      <w:r>
        <w:separator/>
      </w:r>
    </w:p>
  </w:footnote>
  <w:footnote w:type="continuationSeparator" w:id="0">
    <w:p w14:paraId="662283E3" w14:textId="77777777" w:rsidR="00B3037B" w:rsidRDefault="00B3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1D5B" w14:textId="77777777" w:rsidR="00DD388D" w:rsidRDefault="00B3037B">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25CFED5A" wp14:editId="34D14C52">
          <wp:extent cx="6210935" cy="12249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10935" cy="12249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CE9"/>
    <w:multiLevelType w:val="multilevel"/>
    <w:tmpl w:val="88FCD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BE61D5"/>
    <w:multiLevelType w:val="multilevel"/>
    <w:tmpl w:val="E9D2A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48055E"/>
    <w:multiLevelType w:val="multilevel"/>
    <w:tmpl w:val="184A1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343F57"/>
    <w:multiLevelType w:val="multilevel"/>
    <w:tmpl w:val="66E0272C"/>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8D"/>
    <w:rsid w:val="009E447A"/>
    <w:rsid w:val="00B3037B"/>
    <w:rsid w:val="00DD3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DBD4"/>
  <w15:docId w15:val="{5BCED35E-F8AD-452B-83BD-872D1AF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tblPr>
      <w:tblStyleRowBandSize w:val="1"/>
      <w:tblStyleColBandSize w:val="1"/>
      <w:tblCellMar>
        <w:top w:w="28" w:type="dxa"/>
        <w:left w:w="28" w:type="dxa"/>
        <w:bottom w:w="28" w:type="dxa"/>
        <w:right w:w="28" w:type="dxa"/>
      </w:tblCellMar>
    </w:tblPr>
  </w:style>
  <w:style w:type="table" w:customStyle="1" w:styleId="1">
    <w:name w:val="1"/>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CE8+RPRYes5PgSMFGQByHHLLw==">AMUW2mXQ2WsdN1VmDhzHtzSarWS2boCtIiPxlwTB9SAtyEzyVHV0sUrnrsEhPBwLHvVFSYc14KGknSGFgWkqci0YiStmfZRC16W+5eq12TiuiDDJYGiTNA0WhrQTV/a5KywA18ggpW4s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818</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2</cp:revision>
  <dcterms:created xsi:type="dcterms:W3CDTF">2019-12-16T13:37:00Z</dcterms:created>
  <dcterms:modified xsi:type="dcterms:W3CDTF">2021-02-08T21:05:00Z</dcterms:modified>
</cp:coreProperties>
</file>