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5776" w14:textId="77777777" w:rsidR="00EA7095" w:rsidRDefault="00EA7095">
      <w:pPr>
        <w:pBdr>
          <w:top w:val="nil"/>
          <w:left w:val="nil"/>
          <w:bottom w:val="nil"/>
          <w:right w:val="nil"/>
          <w:between w:val="nil"/>
        </w:pBdr>
        <w:spacing w:after="140" w:line="280" w:lineRule="auto"/>
        <w:jc w:val="right"/>
        <w:rPr>
          <w:color w:val="000000"/>
          <w:sz w:val="22"/>
          <w:szCs w:val="22"/>
        </w:rPr>
      </w:pPr>
    </w:p>
    <w:p w14:paraId="5855323E" w14:textId="03D59319" w:rsidR="00EA7095" w:rsidRDefault="009C5606">
      <w:pPr>
        <w:pBdr>
          <w:top w:val="nil"/>
          <w:left w:val="nil"/>
          <w:bottom w:val="nil"/>
          <w:right w:val="nil"/>
          <w:between w:val="nil"/>
        </w:pBdr>
        <w:spacing w:after="140" w:line="280" w:lineRule="auto"/>
        <w:jc w:val="right"/>
        <w:rPr>
          <w:color w:val="000000"/>
          <w:sz w:val="22"/>
          <w:szCs w:val="22"/>
        </w:rPr>
      </w:pPr>
      <w:r>
        <w:rPr>
          <w:color w:val="000000"/>
          <w:sz w:val="22"/>
          <w:szCs w:val="22"/>
        </w:rPr>
        <w:t xml:space="preserve">Ożarów Mazowiecki, </w:t>
      </w:r>
      <w:r>
        <w:rPr>
          <w:sz w:val="22"/>
          <w:szCs w:val="22"/>
        </w:rPr>
        <w:t>2</w:t>
      </w:r>
      <w:r w:rsidR="002043D2">
        <w:rPr>
          <w:sz w:val="22"/>
          <w:szCs w:val="22"/>
        </w:rPr>
        <w:t>5</w:t>
      </w:r>
      <w:r>
        <w:rPr>
          <w:sz w:val="22"/>
          <w:szCs w:val="22"/>
          <w:vertAlign w:val="superscript"/>
        </w:rPr>
        <w:t>th</w:t>
      </w:r>
      <w:r>
        <w:rPr>
          <w:sz w:val="22"/>
          <w:szCs w:val="22"/>
        </w:rPr>
        <w:t xml:space="preserve"> </w:t>
      </w:r>
      <w:r>
        <w:rPr>
          <w:color w:val="000000"/>
          <w:sz w:val="22"/>
          <w:szCs w:val="22"/>
        </w:rPr>
        <w:t>February 2021</w:t>
      </w:r>
    </w:p>
    <w:p w14:paraId="57754F69" w14:textId="77777777" w:rsidR="00EA7095" w:rsidRDefault="00EA7095">
      <w:pPr>
        <w:pBdr>
          <w:top w:val="nil"/>
          <w:left w:val="nil"/>
          <w:bottom w:val="nil"/>
          <w:right w:val="nil"/>
          <w:between w:val="nil"/>
        </w:pBdr>
        <w:spacing w:after="140" w:line="280" w:lineRule="auto"/>
        <w:jc w:val="right"/>
        <w:rPr>
          <w:color w:val="000000"/>
          <w:sz w:val="22"/>
          <w:szCs w:val="22"/>
        </w:rPr>
      </w:pPr>
    </w:p>
    <w:p w14:paraId="4A7455A5" w14:textId="77777777" w:rsidR="00EA7095" w:rsidRDefault="00EA7095">
      <w:pPr>
        <w:pBdr>
          <w:top w:val="nil"/>
          <w:left w:val="nil"/>
          <w:bottom w:val="nil"/>
          <w:right w:val="nil"/>
          <w:between w:val="nil"/>
        </w:pBdr>
        <w:spacing w:after="140" w:line="280" w:lineRule="auto"/>
        <w:jc w:val="right"/>
        <w:rPr>
          <w:color w:val="000000"/>
        </w:rPr>
      </w:pPr>
    </w:p>
    <w:p w14:paraId="6C06875C" w14:textId="29A045A5" w:rsidR="00EA7095" w:rsidRDefault="009C5606">
      <w:pPr>
        <w:widowControl w:val="0"/>
        <w:pBdr>
          <w:top w:val="nil"/>
          <w:left w:val="nil"/>
          <w:bottom w:val="nil"/>
          <w:right w:val="nil"/>
          <w:between w:val="nil"/>
        </w:pBdr>
        <w:spacing w:before="240" w:after="60"/>
        <w:jc w:val="center"/>
        <w:rPr>
          <w:b/>
          <w:color w:val="000000"/>
          <w:sz w:val="28"/>
          <w:szCs w:val="28"/>
        </w:rPr>
      </w:pPr>
      <w:bookmarkStart w:id="0" w:name="_heading=h.30j0zll" w:colFirst="0" w:colLast="0"/>
      <w:bookmarkEnd w:id="0"/>
      <w:r>
        <w:rPr>
          <w:b/>
          <w:color w:val="000000"/>
          <w:sz w:val="28"/>
          <w:szCs w:val="28"/>
        </w:rPr>
        <w:t xml:space="preserve">Request for proposal No. </w:t>
      </w:r>
      <w:r>
        <w:rPr>
          <w:b/>
          <w:sz w:val="28"/>
          <w:szCs w:val="28"/>
        </w:rPr>
        <w:t>SDM-WG/</w:t>
      </w:r>
      <w:r w:rsidR="004A693F">
        <w:rPr>
          <w:b/>
          <w:sz w:val="28"/>
          <w:szCs w:val="28"/>
        </w:rPr>
        <w:t>14</w:t>
      </w:r>
      <w:r>
        <w:rPr>
          <w:b/>
          <w:color w:val="000000"/>
          <w:sz w:val="28"/>
          <w:szCs w:val="28"/>
        </w:rPr>
        <w:t xml:space="preserve"> of 2</w:t>
      </w:r>
      <w:r w:rsidR="002043D2">
        <w:rPr>
          <w:b/>
          <w:color w:val="000000"/>
          <w:sz w:val="28"/>
          <w:szCs w:val="28"/>
        </w:rPr>
        <w:t>5</w:t>
      </w:r>
      <w:r>
        <w:rPr>
          <w:b/>
          <w:color w:val="000000"/>
          <w:sz w:val="28"/>
          <w:szCs w:val="28"/>
          <w:vertAlign w:val="superscript"/>
        </w:rPr>
        <w:t>th</w:t>
      </w:r>
      <w:r>
        <w:rPr>
          <w:b/>
          <w:color w:val="000000"/>
          <w:sz w:val="28"/>
          <w:szCs w:val="28"/>
        </w:rPr>
        <w:t xml:space="preserve"> February 2021 </w:t>
      </w:r>
    </w:p>
    <w:p w14:paraId="5183CE41" w14:textId="77777777" w:rsidR="00EA7095" w:rsidRDefault="00EA7095">
      <w:pPr>
        <w:pBdr>
          <w:top w:val="nil"/>
          <w:left w:val="nil"/>
          <w:bottom w:val="nil"/>
          <w:right w:val="nil"/>
          <w:between w:val="nil"/>
        </w:pBdr>
        <w:rPr>
          <w:color w:val="000000"/>
          <w:sz w:val="24"/>
          <w:szCs w:val="24"/>
        </w:rPr>
      </w:pPr>
    </w:p>
    <w:p w14:paraId="488C7AF0"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50553588"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 This request for proposal concerns a supply of goods required for the comprehensive making by VIGO System Spółka Akcyjna (a joint-stock company) with its registered office in Ożarów Mazowiecki of an investment under a project named “Sensors for industry 4.0 and IoT”; as part of the competition Path for Mazovia / 2019, application number: MAZOWSZE / 0090 / 19, the grant agreement of December 3, 2019, No. MAZOWSZE / 0090 / 19-00 concluded with the National Center for Research and Development.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FF39545"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6EB2635C"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14:paraId="4C9AC4D2"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bookmarkStart w:id="1" w:name="_heading=h.1fob9te" w:colFirst="0" w:colLast="0"/>
      <w:bookmarkEnd w:id="1"/>
      <w:r>
        <w:rPr>
          <w:color w:val="000000"/>
          <w:sz w:val="22"/>
          <w:szCs w:val="22"/>
        </w:rPr>
        <w:t>The subject of the contract is a supply of goods necessary for the Contracting Party’s implementation of a project named “Sensors for industry 4.0 and IoT”; as part of the competition Path for Mazovia / 2019, application number: MAZOWSZE / 0090 / 19, the grant agreement of December 3, 2019, No. MAZOWSZE / 0090 / 19-00 concluded with the National Center for Research and Development.</w:t>
      </w:r>
      <w:r>
        <w:rPr>
          <w:sz w:val="22"/>
          <w:szCs w:val="22"/>
        </w:rPr>
        <w:tab/>
      </w:r>
      <w:r>
        <w:rPr>
          <w:sz w:val="22"/>
          <w:szCs w:val="22"/>
        </w:rPr>
        <w:tab/>
      </w:r>
      <w:r>
        <w:rPr>
          <w:sz w:val="22"/>
          <w:szCs w:val="22"/>
        </w:rPr>
        <w:tab/>
      </w:r>
      <w:r>
        <w:rPr>
          <w:sz w:val="22"/>
          <w:szCs w:val="22"/>
        </w:rPr>
        <w:tab/>
      </w:r>
      <w:r>
        <w:rPr>
          <w:sz w:val="22"/>
          <w:szCs w:val="22"/>
        </w:rPr>
        <w:tab/>
      </w:r>
    </w:p>
    <w:p w14:paraId="687D84A1" w14:textId="77777777" w:rsidR="00EA7095" w:rsidRDefault="009C5606">
      <w:pPr>
        <w:numPr>
          <w:ilvl w:val="1"/>
          <w:numId w:val="1"/>
        </w:numPr>
        <w:pBdr>
          <w:top w:val="nil"/>
          <w:left w:val="nil"/>
          <w:bottom w:val="nil"/>
          <w:right w:val="nil"/>
          <w:between w:val="nil"/>
        </w:pBdr>
        <w:spacing w:after="140" w:line="280" w:lineRule="auto"/>
        <w:jc w:val="both"/>
        <w:rPr>
          <w:sz w:val="22"/>
          <w:szCs w:val="22"/>
        </w:rPr>
      </w:pPr>
      <w:bookmarkStart w:id="2" w:name="_heading=h.nmbva05gogdz" w:colFirst="0" w:colLast="0"/>
      <w:bookmarkEnd w:id="2"/>
      <w:r>
        <w:rPr>
          <w:sz w:val="22"/>
          <w:szCs w:val="22"/>
        </w:rPr>
        <w:t>The subject of the order is the supply of 200 pcs sapphire Al203 windows with a diameter of 13 mm and thickness of 0.4 mm, as specified in appendix no. 1 to this request for proposal.</w:t>
      </w:r>
    </w:p>
    <w:p w14:paraId="3255F43F"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bookmarkStart w:id="3" w:name="_heading=h.3znysh7" w:colFirst="0" w:colLast="0"/>
      <w:bookmarkEnd w:id="3"/>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14:paraId="2687F3F9"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Contracting Party shall not accept partial tenders. Division into lots is related to excessive technical difficulties or excessive costs of the contract. In addition, the need to coordinate the activities of the different economic operators when implementing different lots could seriously jeopardize the proper performance of the contract.</w:t>
      </w:r>
    </w:p>
    <w:p w14:paraId="48A75E30"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57D54342" w14:textId="77777777" w:rsidR="00EA7095" w:rsidRDefault="009C5606">
      <w:pPr>
        <w:numPr>
          <w:ilvl w:val="0"/>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2B82236E" w14:textId="68CAB5EA" w:rsidR="00EA7095" w:rsidRDefault="009C5606">
      <w:pPr>
        <w:pBdr>
          <w:top w:val="nil"/>
          <w:left w:val="nil"/>
          <w:bottom w:val="nil"/>
          <w:right w:val="nil"/>
          <w:between w:val="nil"/>
        </w:pBdr>
        <w:spacing w:after="140" w:line="280" w:lineRule="auto"/>
        <w:ind w:firstLine="720"/>
        <w:jc w:val="both"/>
        <w:rPr>
          <w:color w:val="000000"/>
          <w:sz w:val="22"/>
          <w:szCs w:val="22"/>
        </w:rPr>
      </w:pPr>
      <w:bookmarkStart w:id="4" w:name="_heading=h.4d34og8" w:colFirst="0" w:colLast="0"/>
      <w:bookmarkEnd w:id="4"/>
      <w:r>
        <w:rPr>
          <w:sz w:val="22"/>
          <w:szCs w:val="22"/>
        </w:rPr>
        <w:t xml:space="preserve">Time-limit for completion of the Contract amounts to </w:t>
      </w:r>
      <w:r w:rsidR="00B52932">
        <w:rPr>
          <w:b/>
          <w:sz w:val="22"/>
          <w:szCs w:val="22"/>
        </w:rPr>
        <w:t>7</w:t>
      </w:r>
      <w:r>
        <w:rPr>
          <w:b/>
          <w:sz w:val="22"/>
          <w:szCs w:val="22"/>
        </w:rPr>
        <w:t xml:space="preserve"> weeks from the </w:t>
      </w:r>
      <w:r w:rsidR="004A693F">
        <w:rPr>
          <w:b/>
          <w:sz w:val="22"/>
          <w:szCs w:val="22"/>
        </w:rPr>
        <w:t>placing the order</w:t>
      </w:r>
      <w:r>
        <w:rPr>
          <w:b/>
          <w:sz w:val="22"/>
          <w:szCs w:val="22"/>
        </w:rPr>
        <w:t xml:space="preserve">. </w:t>
      </w:r>
      <w:r>
        <w:rPr>
          <w:sz w:val="22"/>
          <w:szCs w:val="22"/>
        </w:rPr>
        <w:t>The ordering party requires the application of the EXW Incoterms 2020 delivery principle. EXW (ex works), i.e. the moment of delivery of the goods is considered to be at the disposal of the buyer in the area indicated by the supplier (factory, plant, etc.).</w:t>
      </w:r>
    </w:p>
    <w:p w14:paraId="3A95EE61"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24E6DAA7"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p>
    <w:p w14:paraId="475F0339"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230B7148"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0905AD41"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u w:val="single"/>
        </w:rPr>
      </w:pPr>
      <w:bookmarkStart w:id="5" w:name="_heading=h.tyjcwt" w:colFirst="0" w:colLast="0"/>
      <w:bookmarkEnd w:id="5"/>
      <w:r>
        <w:rPr>
          <w:color w:val="000000"/>
          <w:sz w:val="22"/>
          <w:szCs w:val="22"/>
        </w:rPr>
        <w:t xml:space="preserve">should have the necessary knowledge, experience as well as technical and human potential to perform the Order; </w:t>
      </w:r>
    </w:p>
    <w:p w14:paraId="39D43EC7" w14:textId="77777777" w:rsidR="00EA7095" w:rsidRDefault="009C5606">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14:paraId="1E79198F"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14:paraId="26D63E72"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14:paraId="04265770"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4DF503C2"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14:paraId="4B9DF96D"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14:paraId="06769D2C"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0F785AE8"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14:paraId="1744396B"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14:paraId="2F5B8E1F" w14:textId="77777777" w:rsidR="00EA7095" w:rsidRDefault="009C5606">
      <w:pPr>
        <w:numPr>
          <w:ilvl w:val="1"/>
          <w:numId w:val="1"/>
        </w:numPr>
        <w:pBdr>
          <w:top w:val="nil"/>
          <w:left w:val="nil"/>
          <w:bottom w:val="nil"/>
          <w:right w:val="nil"/>
          <w:between w:val="nil"/>
        </w:pBdr>
        <w:spacing w:after="140"/>
        <w:jc w:val="both"/>
        <w:rPr>
          <w:b/>
          <w:color w:val="000000"/>
          <w:sz w:val="22"/>
          <w:szCs w:val="22"/>
        </w:rPr>
      </w:pPr>
      <w:r>
        <w:rPr>
          <w:color w:val="000000"/>
          <w:sz w:val="22"/>
          <w:szCs w:val="22"/>
        </w:rPr>
        <w:t>The Contract cannot be awarded to entities related to the Ordering Party. An entity is considered to be a related contractor:</w:t>
      </w:r>
    </w:p>
    <w:p w14:paraId="66680357" w14:textId="77777777" w:rsidR="00EA7095" w:rsidRDefault="009C5606">
      <w:pPr>
        <w:numPr>
          <w:ilvl w:val="2"/>
          <w:numId w:val="1"/>
        </w:numPr>
        <w:pBdr>
          <w:top w:val="nil"/>
          <w:left w:val="nil"/>
          <w:bottom w:val="nil"/>
          <w:right w:val="nil"/>
          <w:between w:val="nil"/>
        </w:pBdr>
        <w:spacing w:after="140"/>
        <w:jc w:val="both"/>
        <w:rPr>
          <w:b/>
          <w:color w:val="000000"/>
          <w:sz w:val="22"/>
          <w:szCs w:val="22"/>
        </w:rPr>
      </w:pPr>
      <w:r>
        <w:rPr>
          <w:color w:val="000000"/>
          <w:sz w:val="22"/>
          <w:szCs w:val="22"/>
        </w:rPr>
        <w:t>associated or being a subsidiary, jointly controlled entity or parent in relation to the consortium leader or consortium or consortium member within the meaning of the Accounting Act of 29 September 1994;</w:t>
      </w:r>
    </w:p>
    <w:p w14:paraId="3F5516C5" w14:textId="77777777" w:rsidR="00EA7095" w:rsidRDefault="009C5606">
      <w:pPr>
        <w:numPr>
          <w:ilvl w:val="2"/>
          <w:numId w:val="1"/>
        </w:numPr>
        <w:pBdr>
          <w:top w:val="nil"/>
          <w:left w:val="nil"/>
          <w:bottom w:val="nil"/>
          <w:right w:val="nil"/>
          <w:between w:val="nil"/>
        </w:pBdr>
        <w:spacing w:after="140"/>
        <w:jc w:val="both"/>
        <w:rPr>
          <w:b/>
          <w:color w:val="000000"/>
          <w:sz w:val="22"/>
          <w:szCs w:val="22"/>
        </w:rPr>
      </w:pPr>
      <w:r>
        <w:rPr>
          <w:color w:val="000000"/>
          <w:sz w:val="22"/>
          <w:szCs w:val="22"/>
        </w:rPr>
        <w:t>being an entity remaining with a Leader of consortium or consortium member or member of their bodies in such an actual or legal relationship that may raise reasonable doubts as to impartiality in the selection of the supplier of a good or service, in particular married, relationship of affinity up to the second degree, adoption, guardianship or tutelage, including through membership in the organs of a supplier of a good or service;</w:t>
      </w:r>
    </w:p>
    <w:p w14:paraId="3E574833" w14:textId="77777777" w:rsidR="00EA7095" w:rsidRDefault="009C5606">
      <w:pPr>
        <w:numPr>
          <w:ilvl w:val="2"/>
          <w:numId w:val="1"/>
        </w:numPr>
        <w:pBdr>
          <w:top w:val="nil"/>
          <w:left w:val="nil"/>
          <w:bottom w:val="nil"/>
          <w:right w:val="nil"/>
          <w:between w:val="nil"/>
        </w:pBdr>
        <w:spacing w:after="140"/>
        <w:jc w:val="both"/>
        <w:rPr>
          <w:b/>
          <w:color w:val="000000"/>
          <w:sz w:val="22"/>
          <w:szCs w:val="22"/>
        </w:rPr>
      </w:pPr>
      <w:r>
        <w:rPr>
          <w:color w:val="000000"/>
          <w:sz w:val="22"/>
          <w:szCs w:val="22"/>
        </w:rPr>
        <w:t>being a related entity or partner entity in relation to the consortium leader or consortium member within the meaning of Regulation No. 651/2014;</w:t>
      </w:r>
    </w:p>
    <w:p w14:paraId="3579B50E" w14:textId="77777777" w:rsidR="00EA7095" w:rsidRDefault="009C5606">
      <w:pPr>
        <w:numPr>
          <w:ilvl w:val="2"/>
          <w:numId w:val="1"/>
        </w:numPr>
        <w:pBdr>
          <w:top w:val="nil"/>
          <w:left w:val="nil"/>
          <w:bottom w:val="nil"/>
          <w:right w:val="nil"/>
          <w:between w:val="nil"/>
        </w:pBdr>
        <w:spacing w:after="140"/>
        <w:jc w:val="both"/>
        <w:rPr>
          <w:b/>
          <w:color w:val="000000"/>
          <w:sz w:val="22"/>
          <w:szCs w:val="22"/>
        </w:rPr>
      </w:pPr>
      <w:r>
        <w:rPr>
          <w:color w:val="000000"/>
          <w:sz w:val="22"/>
          <w:szCs w:val="22"/>
        </w:rPr>
        <w:t>being an entity related personally to the consortium leader or consortium member within the Art. 32 section 2 of the Act of 11 March 2004 on tax on goods and services.</w:t>
      </w:r>
    </w:p>
    <w:p w14:paraId="19239C7A"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0636A541" w14:textId="77777777" w:rsidR="00EA7095" w:rsidRDefault="009C5606">
      <w:pPr>
        <w:numPr>
          <w:ilvl w:val="1"/>
          <w:numId w:val="1"/>
        </w:numPr>
        <w:spacing w:after="140"/>
        <w:jc w:val="both"/>
        <w:rPr>
          <w:b/>
          <w:color w:val="000000"/>
          <w:sz w:val="22"/>
          <w:szCs w:val="22"/>
        </w:rPr>
      </w:pPr>
      <w:r>
        <w:rPr>
          <w:color w:val="000000"/>
          <w:sz w:val="22"/>
          <w:szCs w:val="22"/>
        </w:rPr>
        <w:t>The contracting authority requires that the contractor applying for the award of the contract together with the offer and statements (prepared in accordance with Appendix No. 2 - model bid form) submit a document indicating the persons authorized to represent the Contractor to the extent necessary to submit the offer;</w:t>
      </w:r>
    </w:p>
    <w:p w14:paraId="796E532D" w14:textId="77777777" w:rsidR="00EA7095" w:rsidRDefault="009C5606">
      <w:pPr>
        <w:numPr>
          <w:ilvl w:val="1"/>
          <w:numId w:val="1"/>
        </w:numPr>
        <w:spacing w:after="140"/>
        <w:jc w:val="both"/>
        <w:rPr>
          <w:b/>
          <w:color w:val="000000"/>
          <w:sz w:val="22"/>
          <w:szCs w:val="22"/>
        </w:rPr>
      </w:pPr>
      <w:r>
        <w:rPr>
          <w:color w:val="000000"/>
          <w:sz w:val="22"/>
          <w:szCs w:val="22"/>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1879D7C4" w14:textId="4C048A12" w:rsidR="00EA7095" w:rsidRDefault="009C5606">
      <w:pPr>
        <w:numPr>
          <w:ilvl w:val="1"/>
          <w:numId w:val="1"/>
        </w:numPr>
        <w:spacing w:after="140"/>
        <w:jc w:val="both"/>
        <w:rPr>
          <w:b/>
          <w:color w:val="000000"/>
          <w:sz w:val="22"/>
          <w:szCs w:val="22"/>
        </w:rPr>
      </w:pPr>
      <w:r>
        <w:rPr>
          <w:color w:val="000000"/>
          <w:sz w:val="22"/>
          <w:szCs w:val="22"/>
        </w:rPr>
        <w:t xml:space="preserve">The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w:t>
      </w:r>
      <w:r>
        <w:rPr>
          <w:color w:val="000000"/>
          <w:sz w:val="22"/>
          <w:szCs w:val="22"/>
        </w:rPr>
        <w:lastRenderedPageBreak/>
        <w:t>to be a true copy of the original by a notary public or by the issuer of the power of attorney, and in the case of submitting documents electronically in the form of scans in PDF format; </w:t>
      </w:r>
    </w:p>
    <w:p w14:paraId="15573BC5" w14:textId="6CEF350C" w:rsidR="00EA7095" w:rsidRDefault="009C5606">
      <w:pPr>
        <w:numPr>
          <w:ilvl w:val="1"/>
          <w:numId w:val="1"/>
        </w:numPr>
        <w:spacing w:after="140"/>
        <w:jc w:val="both"/>
        <w:rPr>
          <w:b/>
          <w:color w:val="000000"/>
          <w:sz w:val="22"/>
          <w:szCs w:val="22"/>
        </w:rPr>
      </w:pPr>
      <w:r>
        <w:rPr>
          <w:color w:val="000000"/>
          <w:sz w:val="22"/>
          <w:szCs w:val="22"/>
        </w:rPr>
        <w:t>the offer form and the offer description should be submitted in Polish or English in accordance with Appendix 2, an extract from the company's register is allowed in one of the official European languages</w:t>
      </w:r>
      <w:r w:rsidR="00711A9B" w:rsidRPr="00711A9B">
        <w:rPr>
          <w:color w:val="000000"/>
          <w:sz w:val="22"/>
          <w:szCs w:val="22"/>
        </w:rPr>
        <w:t>(for others, with a translation into these languages</w:t>
      </w:r>
      <w:r w:rsidR="00711A9B">
        <w:rPr>
          <w:color w:val="000000"/>
          <w:sz w:val="22"/>
          <w:szCs w:val="22"/>
        </w:rPr>
        <w:t>)</w:t>
      </w:r>
      <w:r>
        <w:rPr>
          <w:color w:val="000000"/>
          <w:sz w:val="22"/>
          <w:szCs w:val="22"/>
        </w:rPr>
        <w:t>; The power of attorney should be submitted on the form attached to the question in question - Appendix 3. If the company's registration documents are submitted in a language other than one of the official European languages, the contracting authority will request the Contractor to be translated into one of these languages.</w:t>
      </w:r>
    </w:p>
    <w:p w14:paraId="4E9CA592" w14:textId="77777777" w:rsidR="00EA7095" w:rsidRDefault="009C5606">
      <w:pPr>
        <w:numPr>
          <w:ilvl w:val="1"/>
          <w:numId w:val="1"/>
        </w:numPr>
        <w:spacing w:after="140"/>
        <w:jc w:val="both"/>
        <w:rPr>
          <w:b/>
          <w:color w:val="000000"/>
          <w:sz w:val="22"/>
          <w:szCs w:val="22"/>
        </w:rPr>
      </w:pPr>
      <w:r>
        <w:rPr>
          <w:color w:val="000000"/>
          <w:sz w:val="22"/>
          <w:szCs w:val="22"/>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6A88A3EF" w14:textId="77777777" w:rsidR="00EA7095" w:rsidRDefault="009C5606">
      <w:pPr>
        <w:numPr>
          <w:ilvl w:val="1"/>
          <w:numId w:val="1"/>
        </w:numPr>
        <w:spacing w:after="140"/>
        <w:jc w:val="both"/>
        <w:rPr>
          <w:b/>
          <w:color w:val="000000"/>
          <w:sz w:val="22"/>
          <w:szCs w:val="22"/>
        </w:rPr>
      </w:pPr>
      <w:r>
        <w:rPr>
          <w:color w:val="000000"/>
          <w:sz w:val="22"/>
          <w:szCs w:val="22"/>
        </w:rPr>
        <w:t>For the avoidance of doubt, the Ordering Party allows any documents to be signed in accordance with the Inquiry in electronic form with a secure electronic signature confirmed by a valid qualified certificate.</w:t>
      </w:r>
    </w:p>
    <w:p w14:paraId="1705F61F" w14:textId="77777777" w:rsidR="00EA7095" w:rsidRDefault="009C5606">
      <w:pPr>
        <w:numPr>
          <w:ilvl w:val="1"/>
          <w:numId w:val="1"/>
        </w:numPr>
        <w:spacing w:after="140"/>
        <w:jc w:val="both"/>
        <w:rPr>
          <w:b/>
          <w:color w:val="000000"/>
          <w:sz w:val="22"/>
          <w:szCs w:val="22"/>
        </w:rPr>
      </w:pPr>
      <w:r>
        <w:rPr>
          <w:color w:val="000000"/>
          <w:sz w:val="22"/>
          <w:szCs w:val="22"/>
        </w:rPr>
        <w:t xml:space="preserve">Contractors having their registered office or place of residence outside the territory of the Republic of Poland shall submit a relevant document or documents issued in the country in which they have their seat or place of residence. </w:t>
      </w:r>
    </w:p>
    <w:p w14:paraId="5ABFC51F"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09FA2981"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14:paraId="5D16FB46"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14:paraId="55B29C39"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402010D9"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14:paraId="29331C04"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28C68E5C"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14:paraId="64502F25"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14:paraId="732D8278"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14:paraId="33F3223E"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14:paraId="117566B0"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14:paraId="5FF13053"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6" w:name="_heading=h.3dy6vkm" w:colFirst="0" w:colLast="0"/>
      <w:bookmarkEnd w:id="6"/>
      <w:r>
        <w:rPr>
          <w:b/>
          <w:color w:val="000000"/>
          <w:sz w:val="24"/>
          <w:szCs w:val="24"/>
        </w:rPr>
        <w:t>Time-limit for submission of tenders</w:t>
      </w:r>
    </w:p>
    <w:p w14:paraId="42D7B772" w14:textId="1058C056"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Pr>
          <w:b/>
          <w:color w:val="000000"/>
          <w:sz w:val="22"/>
          <w:szCs w:val="22"/>
        </w:rPr>
        <w:t xml:space="preserve"> </w:t>
      </w:r>
      <w:r w:rsidR="002043D2">
        <w:rPr>
          <w:b/>
          <w:sz w:val="22"/>
          <w:szCs w:val="22"/>
        </w:rPr>
        <w:t>4</w:t>
      </w:r>
      <w:r>
        <w:rPr>
          <w:b/>
          <w:sz w:val="22"/>
          <w:szCs w:val="22"/>
          <w:vertAlign w:val="superscript"/>
        </w:rPr>
        <w:t>rd</w:t>
      </w:r>
      <w:r>
        <w:rPr>
          <w:b/>
          <w:sz w:val="22"/>
          <w:szCs w:val="22"/>
        </w:rPr>
        <w:t xml:space="preserve"> March </w:t>
      </w:r>
      <w:r>
        <w:rPr>
          <w:b/>
          <w:color w:val="000000"/>
          <w:sz w:val="22"/>
          <w:szCs w:val="22"/>
        </w:rPr>
        <w:t>2021.</w:t>
      </w:r>
    </w:p>
    <w:p w14:paraId="68A55B57"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color w:val="000000"/>
          <w:sz w:val="22"/>
          <w:szCs w:val="22"/>
        </w:rPr>
        <w:t>60 days</w:t>
      </w:r>
      <w:r>
        <w:rPr>
          <w:color w:val="000000"/>
          <w:sz w:val="22"/>
          <w:szCs w:val="22"/>
        </w:rPr>
        <w:t xml:space="preserve">. The period during which the submitted tender is binding commences at the end of the time limit for submission of tenders. </w:t>
      </w:r>
    </w:p>
    <w:p w14:paraId="2AAE0B06"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71E9A6AA"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2BABBE85" w14:textId="77777777" w:rsidR="00EA7095" w:rsidRDefault="009C5606">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14:paraId="76B8CA68" w14:textId="77777777" w:rsidR="00EA7095" w:rsidRDefault="009C5606">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14:paraId="2A39ECAC"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14:paraId="0B3943C0"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14:paraId="2EE8D83F"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14:paraId="35BCA4E8"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price shall be expressed with two decimal places.</w:t>
      </w:r>
    </w:p>
    <w:p w14:paraId="210F1EB7"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14:paraId="5C1A226D"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bookmarkStart w:id="7" w:name="_heading=h.2s8eyo1" w:colFirst="0" w:colLast="0"/>
      <w:bookmarkEnd w:id="7"/>
      <w:r>
        <w:rPr>
          <w:color w:val="000000"/>
          <w:sz w:val="22"/>
          <w:szCs w:val="22"/>
        </w:rPr>
        <w:t>The tender should contain the following attachments:</w:t>
      </w:r>
    </w:p>
    <w:p w14:paraId="71A7A887" w14:textId="77777777" w:rsidR="00EA7095" w:rsidRDefault="009C5606">
      <w:pPr>
        <w:numPr>
          <w:ilvl w:val="2"/>
          <w:numId w:val="1"/>
        </w:numPr>
        <w:pBdr>
          <w:top w:val="nil"/>
          <w:left w:val="nil"/>
          <w:bottom w:val="nil"/>
          <w:right w:val="nil"/>
          <w:between w:val="nil"/>
        </w:pBdr>
        <w:spacing w:after="140" w:line="280" w:lineRule="auto"/>
        <w:ind w:left="795"/>
        <w:jc w:val="both"/>
        <w:rPr>
          <w:color w:val="000000"/>
          <w:sz w:val="22"/>
          <w:szCs w:val="22"/>
        </w:rPr>
      </w:pPr>
      <w:r>
        <w:rPr>
          <w:b/>
          <w:color w:val="000000"/>
          <w:sz w:val="22"/>
          <w:szCs w:val="22"/>
        </w:rPr>
        <w:t>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14:paraId="47F949B0" w14:textId="77777777" w:rsidR="00EA7095" w:rsidRDefault="009C5606">
      <w:pPr>
        <w:numPr>
          <w:ilvl w:val="2"/>
          <w:numId w:val="1"/>
        </w:numPr>
        <w:pBdr>
          <w:top w:val="nil"/>
          <w:left w:val="nil"/>
          <w:bottom w:val="nil"/>
          <w:right w:val="nil"/>
          <w:between w:val="nil"/>
        </w:pBdr>
        <w:spacing w:after="140" w:line="280" w:lineRule="auto"/>
        <w:ind w:left="795"/>
        <w:jc w:val="both"/>
        <w:rPr>
          <w:color w:val="000000"/>
          <w:sz w:val="22"/>
          <w:szCs w:val="22"/>
        </w:rPr>
      </w:pPr>
      <w:r>
        <w:rPr>
          <w:b/>
          <w:color w:val="000000"/>
          <w:sz w:val="22"/>
          <w:szCs w:val="22"/>
        </w:rPr>
        <w:t xml:space="preserve">power of attorney, if the offer is submitted by a representative - Appendix No. </w:t>
      </w:r>
      <w:r>
        <w:rPr>
          <w:b/>
          <w:sz w:val="22"/>
          <w:szCs w:val="22"/>
        </w:rPr>
        <w:t xml:space="preserve">3 </w:t>
      </w:r>
      <w:r>
        <w:rPr>
          <w:b/>
          <w:color w:val="000000"/>
          <w:sz w:val="22"/>
          <w:szCs w:val="22"/>
        </w:rPr>
        <w:t>to the Request for Proposal;</w:t>
      </w:r>
    </w:p>
    <w:p w14:paraId="418CCE83" w14:textId="77777777" w:rsidR="00EA7095" w:rsidRDefault="009C5606">
      <w:pPr>
        <w:numPr>
          <w:ilvl w:val="2"/>
          <w:numId w:val="1"/>
        </w:numPr>
        <w:pBdr>
          <w:top w:val="nil"/>
          <w:left w:val="nil"/>
          <w:bottom w:val="nil"/>
          <w:right w:val="nil"/>
          <w:between w:val="nil"/>
        </w:pBdr>
        <w:spacing w:after="140" w:line="280" w:lineRule="auto"/>
        <w:ind w:left="795"/>
        <w:jc w:val="both"/>
        <w:rPr>
          <w:color w:val="000000"/>
          <w:sz w:val="22"/>
          <w:szCs w:val="22"/>
        </w:rPr>
      </w:pPr>
      <w:r>
        <w:rPr>
          <w:b/>
          <w:color w:val="000000"/>
          <w:sz w:val="22"/>
          <w:szCs w:val="22"/>
        </w:rPr>
        <w:t>description of the offered subject of the contract;</w:t>
      </w:r>
    </w:p>
    <w:p w14:paraId="51DB4ECE"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14:paraId="656B1F28"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14:paraId="59973811"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14:paraId="194ECBA8" w14:textId="77777777" w:rsidR="00EA7095" w:rsidRDefault="009C5606">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14:paraId="7EE79996"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15FBFA1E"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7EB716A7"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14:paraId="50ED08FE"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require that the contractor rectify or supplement the shortcomings of the tender within the prescribed period;</w:t>
      </w:r>
    </w:p>
    <w:p w14:paraId="307EC9B9"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14:paraId="0B0D82B2"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14:paraId="205B9AE4"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7551E774"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62294A0B"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650A8067"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14:paraId="5EECEBA6"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14:paraId="42191F4A" w14:textId="77777777" w:rsidR="00EA7095" w:rsidRDefault="009C5606">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7D931985"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8.1</w:t>
      </w:r>
      <w:r>
        <w:rPr>
          <w:b/>
          <w:color w:val="000000"/>
          <w:sz w:val="22"/>
          <w:szCs w:val="22"/>
        </w:rPr>
        <w:t xml:space="preserve"> </w:t>
      </w:r>
      <w:r>
        <w:rPr>
          <w:color w:val="000000"/>
          <w:sz w:val="22"/>
          <w:szCs w:val="22"/>
        </w:rPr>
        <w:t>above. Tenders submitted after the expiry date shall not be reviewed.</w:t>
      </w:r>
    </w:p>
    <w:p w14:paraId="0F470C24" w14:textId="77777777" w:rsidR="00EA7095" w:rsidRDefault="009C5606">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Contact persons and asking a questions</w:t>
      </w:r>
    </w:p>
    <w:p w14:paraId="33A96844" w14:textId="77777777" w:rsidR="00EA7095" w:rsidRDefault="009C5606">
      <w:pPr>
        <w:keepNext/>
        <w:numPr>
          <w:ilvl w:val="1"/>
          <w:numId w:val="1"/>
        </w:numPr>
        <w:pBdr>
          <w:top w:val="nil"/>
          <w:left w:val="nil"/>
          <w:bottom w:val="nil"/>
          <w:right w:val="nil"/>
          <w:between w:val="nil"/>
        </w:pBdr>
        <w:spacing w:before="280" w:after="140" w:line="280" w:lineRule="auto"/>
        <w:jc w:val="both"/>
        <w:rPr>
          <w:b/>
          <w:color w:val="000000"/>
          <w:sz w:val="24"/>
          <w:szCs w:val="24"/>
        </w:rPr>
      </w:pPr>
      <w:r>
        <w:rPr>
          <w:color w:val="000000"/>
          <w:sz w:val="22"/>
          <w:szCs w:val="22"/>
        </w:rPr>
        <w:t>contact persons on the part of the Ordering Party:</w:t>
      </w:r>
    </w:p>
    <w:p w14:paraId="0511D279" w14:textId="77777777" w:rsidR="00EA7095" w:rsidRDefault="009C5606">
      <w:pPr>
        <w:keepNext/>
        <w:numPr>
          <w:ilvl w:val="2"/>
          <w:numId w:val="1"/>
        </w:numPr>
        <w:pBdr>
          <w:top w:val="nil"/>
          <w:left w:val="nil"/>
          <w:bottom w:val="nil"/>
          <w:right w:val="nil"/>
          <w:between w:val="nil"/>
        </w:pBdr>
        <w:spacing w:before="280" w:after="140" w:line="280" w:lineRule="auto"/>
        <w:jc w:val="both"/>
        <w:rPr>
          <w:b/>
          <w:color w:val="000000"/>
          <w:sz w:val="24"/>
          <w:szCs w:val="24"/>
        </w:rPr>
      </w:pPr>
      <w:r>
        <w:rPr>
          <w:color w:val="000000"/>
          <w:sz w:val="22"/>
          <w:szCs w:val="22"/>
        </w:rPr>
        <w:t xml:space="preserve">in procedural matters: Dominik Nowak, </w:t>
      </w:r>
      <w:hyperlink r:id="rId9">
        <w:r>
          <w:rPr>
            <w:color w:val="0000FF"/>
            <w:sz w:val="22"/>
            <w:szCs w:val="22"/>
            <w:u w:val="single"/>
          </w:rPr>
          <w:t>dnowak@vigo.com.pl</w:t>
        </w:r>
      </w:hyperlink>
      <w:r>
        <w:rPr>
          <w:color w:val="000000"/>
          <w:sz w:val="22"/>
          <w:szCs w:val="22"/>
        </w:rPr>
        <w:t xml:space="preserve"> </w:t>
      </w:r>
    </w:p>
    <w:p w14:paraId="17C4104D" w14:textId="77777777" w:rsidR="00EA7095" w:rsidRDefault="009C5606">
      <w:pPr>
        <w:keepNext/>
        <w:numPr>
          <w:ilvl w:val="2"/>
          <w:numId w:val="1"/>
        </w:numPr>
        <w:pBdr>
          <w:top w:val="nil"/>
          <w:left w:val="nil"/>
          <w:bottom w:val="nil"/>
          <w:right w:val="nil"/>
          <w:between w:val="nil"/>
        </w:pBdr>
        <w:spacing w:before="280" w:after="140" w:line="280" w:lineRule="auto"/>
        <w:jc w:val="both"/>
        <w:rPr>
          <w:b/>
          <w:color w:val="000000"/>
          <w:sz w:val="24"/>
          <w:szCs w:val="24"/>
        </w:rPr>
      </w:pPr>
      <w:r>
        <w:rPr>
          <w:color w:val="000000"/>
          <w:sz w:val="22"/>
          <w:szCs w:val="22"/>
        </w:rPr>
        <w:t xml:space="preserve">in technical matters: Marek Liebert, </w:t>
      </w:r>
      <w:hyperlink r:id="rId10">
        <w:r>
          <w:rPr>
            <w:color w:val="0000FF"/>
            <w:sz w:val="22"/>
            <w:szCs w:val="22"/>
            <w:u w:val="single"/>
          </w:rPr>
          <w:t>mliebert@vigo.com.pl</w:t>
        </w:r>
      </w:hyperlink>
      <w:r>
        <w:rPr>
          <w:color w:val="000000"/>
          <w:sz w:val="22"/>
          <w:szCs w:val="22"/>
        </w:rPr>
        <w:t xml:space="preserve">  </w:t>
      </w:r>
    </w:p>
    <w:p w14:paraId="57B2111E" w14:textId="77777777" w:rsidR="00EA7095" w:rsidRDefault="009C5606">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6547A01C" w14:textId="077D2784"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rsidR="00432338" w:rsidRPr="00432338">
        <w:t xml:space="preserve"> </w:t>
      </w:r>
      <w:r w:rsidR="00432338" w:rsidRPr="00432338">
        <w:rPr>
          <w:color w:val="000000"/>
          <w:sz w:val="22"/>
          <w:szCs w:val="22"/>
        </w:rPr>
        <w:t>The negotiations will be conducted in a manner that does not deteriorate the terms of the contract specified in the request for quotation, in a transparent manner and does not affect the access of all contractors to negotiations.</w:t>
      </w:r>
    </w:p>
    <w:p w14:paraId="07D647D0"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428DB0C8"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Contracting Party may close the Contract award procedure without choosing any tender.</w:t>
      </w:r>
    </w:p>
    <w:p w14:paraId="50C3C7AA" w14:textId="4229E65B"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r w:rsidR="00441D78">
        <w:rPr>
          <w:color w:val="000000"/>
          <w:sz w:val="22"/>
          <w:szCs w:val="22"/>
        </w:rPr>
        <w:t xml:space="preserve"> on website: </w:t>
      </w:r>
      <w:r w:rsidR="00441D78" w:rsidRPr="00130FAD">
        <w:rPr>
          <w:color w:val="000000"/>
          <w:sz w:val="22"/>
          <w:szCs w:val="22"/>
        </w:rPr>
        <w:t>https://vigo.com.pl/o-nas/zamowienia/</w:t>
      </w:r>
      <w:r w:rsidR="00441D78">
        <w:rPr>
          <w:color w:val="000000"/>
          <w:sz w:val="22"/>
          <w:szCs w:val="22"/>
        </w:rPr>
        <w:t>.</w:t>
      </w:r>
    </w:p>
    <w:p w14:paraId="01CFAAE4" w14:textId="77777777" w:rsidR="00EA7095" w:rsidRDefault="009C5606">
      <w:pPr>
        <w:keepNext/>
        <w:numPr>
          <w:ilvl w:val="0"/>
          <w:numId w:val="1"/>
        </w:numPr>
        <w:pBdr>
          <w:top w:val="nil"/>
          <w:left w:val="nil"/>
          <w:bottom w:val="nil"/>
          <w:right w:val="nil"/>
          <w:between w:val="nil"/>
        </w:pBdr>
        <w:spacing w:before="280" w:after="100" w:line="280" w:lineRule="auto"/>
        <w:jc w:val="both"/>
        <w:rPr>
          <w:b/>
          <w:color w:val="000000"/>
          <w:sz w:val="24"/>
          <w:szCs w:val="24"/>
        </w:rPr>
      </w:pPr>
      <w:bookmarkStart w:id="8" w:name="_heading=h.1t3h5sf" w:colFirst="0" w:colLast="0"/>
      <w:bookmarkEnd w:id="8"/>
      <w:r>
        <w:rPr>
          <w:b/>
          <w:color w:val="000000"/>
          <w:sz w:val="24"/>
          <w:szCs w:val="24"/>
        </w:rPr>
        <w:t>Final provisions</w:t>
      </w:r>
    </w:p>
    <w:p w14:paraId="16DB900C"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14:paraId="0031DE14"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14:paraId="142154D9" w14:textId="77777777" w:rsidR="00EA7095" w:rsidRDefault="009C5606">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5DC0C96C" w14:textId="77777777" w:rsidR="00EA7095" w:rsidRDefault="009C5606">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47FC0C1B" w14:textId="77777777" w:rsidR="00EA7095" w:rsidRDefault="009C5606">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14:paraId="2B694BFD" w14:textId="77777777" w:rsidR="00EA7095" w:rsidRDefault="009C5606">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14:paraId="0194FD22" w14:textId="77777777" w:rsidR="00EA7095" w:rsidRDefault="009C5606">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3 – template of the power of attorney</w:t>
      </w:r>
      <w:r>
        <w:rPr>
          <w:sz w:val="22"/>
          <w:szCs w:val="22"/>
        </w:rPr>
        <w:t>.</w:t>
      </w:r>
    </w:p>
    <w:p w14:paraId="4BBFBB1F" w14:textId="77777777" w:rsidR="00EA7095" w:rsidRDefault="00EA7095">
      <w:pPr>
        <w:pBdr>
          <w:top w:val="nil"/>
          <w:left w:val="nil"/>
          <w:bottom w:val="nil"/>
          <w:right w:val="nil"/>
          <w:between w:val="nil"/>
        </w:pBdr>
        <w:spacing w:after="140" w:line="290" w:lineRule="auto"/>
        <w:ind w:left="2041" w:hanging="794"/>
        <w:jc w:val="both"/>
        <w:rPr>
          <w:color w:val="000000"/>
          <w:sz w:val="2"/>
          <w:szCs w:val="2"/>
        </w:rPr>
      </w:pPr>
    </w:p>
    <w:p w14:paraId="157A6FD4" w14:textId="77777777" w:rsidR="00EA7095" w:rsidRDefault="00EA7095">
      <w:pPr>
        <w:pBdr>
          <w:top w:val="nil"/>
          <w:left w:val="nil"/>
          <w:bottom w:val="nil"/>
          <w:right w:val="nil"/>
          <w:between w:val="nil"/>
        </w:pBdr>
        <w:spacing w:line="280" w:lineRule="auto"/>
        <w:ind w:left="567" w:hanging="567"/>
        <w:jc w:val="both"/>
        <w:rPr>
          <w:b/>
          <w:color w:val="000000"/>
          <w:sz w:val="22"/>
          <w:szCs w:val="22"/>
        </w:rPr>
      </w:pPr>
      <w:bookmarkStart w:id="9" w:name="_heading=h.17dp8vu" w:colFirst="0" w:colLast="0"/>
      <w:bookmarkEnd w:id="9"/>
    </w:p>
    <w:sectPr w:rsidR="00EA7095">
      <w:headerReference w:type="default"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8447" w14:textId="77777777" w:rsidR="00D43C9F" w:rsidRDefault="00D43C9F">
      <w:r>
        <w:separator/>
      </w:r>
    </w:p>
  </w:endnote>
  <w:endnote w:type="continuationSeparator" w:id="0">
    <w:p w14:paraId="769B4481" w14:textId="77777777" w:rsidR="00D43C9F" w:rsidRDefault="00D4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4B59" w14:textId="77777777" w:rsidR="00EA7095" w:rsidRDefault="009C5606">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A693F">
      <w:rPr>
        <w:noProof/>
        <w:color w:val="000000"/>
        <w:sz w:val="24"/>
        <w:szCs w:val="24"/>
      </w:rPr>
      <w:t>1</w:t>
    </w:r>
    <w:r>
      <w:rPr>
        <w:color w:val="000000"/>
        <w:sz w:val="24"/>
        <w:szCs w:val="24"/>
      </w:rPr>
      <w:fldChar w:fldCharType="end"/>
    </w:r>
    <w:r>
      <w:rPr>
        <w:color w:val="000000"/>
        <w:sz w:val="24"/>
        <w:szCs w:val="24"/>
      </w:rPr>
      <w:t xml:space="preserve"> /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84A0" w14:textId="77777777" w:rsidR="00EA7095" w:rsidRDefault="00EA7095">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7B6CC7F6" w14:textId="77777777" w:rsidR="00EA7095" w:rsidRDefault="00EA7095">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2070" w14:textId="77777777" w:rsidR="00D43C9F" w:rsidRDefault="00D43C9F">
      <w:r>
        <w:separator/>
      </w:r>
    </w:p>
  </w:footnote>
  <w:footnote w:type="continuationSeparator" w:id="0">
    <w:p w14:paraId="41716E58" w14:textId="77777777" w:rsidR="00D43C9F" w:rsidRDefault="00D4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3D60" w14:textId="77777777" w:rsidR="00EA7095" w:rsidRDefault="009C5606">
    <w:pPr>
      <w:spacing w:after="160" w:line="259" w:lineRule="auto"/>
      <w:jc w:val="both"/>
      <w:rPr>
        <w:color w:val="000000"/>
        <w:sz w:val="16"/>
        <w:szCs w:val="16"/>
      </w:rPr>
    </w:pPr>
    <w:r>
      <w:rPr>
        <w:noProof/>
        <w:sz w:val="22"/>
        <w:szCs w:val="22"/>
      </w:rPr>
      <w:drawing>
        <wp:inline distT="114300" distB="114300" distL="114300" distR="114300" wp14:anchorId="2020DB2B" wp14:editId="2784C422">
          <wp:extent cx="5396230" cy="634627"/>
          <wp:effectExtent l="0" t="0" r="0" b="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230" cy="634627"/>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2B651914" wp14:editId="607FEE1A">
              <wp:simplePos x="0" y="0"/>
              <wp:positionH relativeFrom="column">
                <wp:posOffset>5549900</wp:posOffset>
              </wp:positionH>
              <wp:positionV relativeFrom="paragraph">
                <wp:posOffset>292100</wp:posOffset>
              </wp:positionV>
              <wp:extent cx="914400" cy="380365"/>
              <wp:effectExtent l="0" t="0" r="0" b="0"/>
              <wp:wrapSquare wrapText="bothSides" distT="0" distB="0" distL="0" distR="0"/>
              <wp:docPr id="1056" name="Prostokąt 1056"/>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58013800" w14:textId="77777777" w:rsidR="00EA7095" w:rsidRDefault="00EA7095">
                          <w:pPr>
                            <w:textDirection w:val="btLr"/>
                          </w:pPr>
                        </w:p>
                      </w:txbxContent>
                    </wps:txbx>
                    <wps:bodyPr spcFirstLastPara="1" wrap="square" lIns="91425" tIns="45700" rIns="91425" bIns="45700" anchor="t" anchorCtr="0">
                      <a:noAutofit/>
                    </wps:bodyPr>
                  </wps:wsp>
                </a:graphicData>
              </a:graphic>
            </wp:anchor>
          </w:drawing>
        </mc:Choice>
        <mc:Fallback>
          <w:pict>
            <v:rect w14:anchorId="2B651914" id="Prostokąt 1056" o:spid="_x0000_s1026" style="position:absolute;left:0;text-align:left;margin-left:437pt;margin-top:23pt;width:1in;height:29.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Z2QEAAIYDAAAOAAAAZHJzL2Uyb0RvYy54bWysU1uO0zAU/UdiD5b/adJMk2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yuM&#10;NFUwpT1wDOb7r58BpTS4NFjfQPOj3bs58nCNkkfhVPyCGDQSvLrN13UJXl8Ivqnyuq7qyWU+BsSg&#10;oV5XNznUWWxYFUVVxnr2DGSdDx+5USheCHYwxOQtPT/4MLX+aYnvarOTfQ952vT6rwRgxkwWuU9s&#10;4y2Mh3GWcDDtBeR7y3YS3nqgPuypgwVYYjTAUhDsf5yo4xj1nzS4frtcFSVsUQpW5TrKcNeVw3WF&#10;atYZ2LWA0XT9ENLmTRzfn4IRMumJrCYqM1kYdnJkXsy4Tddx6nr+fba/AQAA//8DAFBLAwQUAAYA&#10;CAAAACEAJ6vd+dwAAAALAQAADwAAAGRycy9kb3ducmV2LnhtbEyPMU/DMBCFdyT+g3VIbNQOSkNI&#10;41QIwcBIysDoxtckwj5HttOm/x5ngune6Z7efa/eL9awM/owOpKQbQQwpM7pkXoJX4f3hxJYiIq0&#10;Mo5QwhUD7Jvbm1pV2l3oE89t7FkKoVApCUOMU8V56Aa0KmzchJRuJ+etimn1PddeXVK4NfxRiIJb&#10;NVL6MKgJXwfsftrZSpjQ6Nnkrfju+JunrPg48OtWyvu75WUHLOIS/8yw4id0aBLT0c2kAzMSyqc8&#10;dYkS8iLN1SCyMqnjqrbPwJua/+/Q/AIAAP//AwBQSwECLQAUAAYACAAAACEAtoM4kv4AAADhAQAA&#10;EwAAAAAAAAAAAAAAAAAAAAAAW0NvbnRlbnRfVHlwZXNdLnhtbFBLAQItABQABgAIAAAAIQA4/SH/&#10;1gAAAJQBAAALAAAAAAAAAAAAAAAAAC8BAABfcmVscy8ucmVsc1BLAQItABQABgAIAAAAIQD+LviZ&#10;2QEAAIYDAAAOAAAAAAAAAAAAAAAAAC4CAABkcnMvZTJvRG9jLnhtbFBLAQItABQABgAIAAAAIQAn&#10;q9353AAAAAsBAAAPAAAAAAAAAAAAAAAAADMEAABkcnMvZG93bnJldi54bWxQSwUGAAAAAAQABADz&#10;AAAAPAUAAAAA&#10;" filled="f" stroked="f">
              <v:textbox inset="2.53958mm,1.2694mm,2.53958mm,1.2694mm">
                <w:txbxContent>
                  <w:p w14:paraId="58013800" w14:textId="77777777" w:rsidR="00EA7095" w:rsidRDefault="00EA7095">
                    <w:pPr>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E3F9" w14:textId="77777777" w:rsidR="00EA7095" w:rsidRDefault="00EA7095">
    <w:pPr>
      <w:widowControl w:val="0"/>
      <w:pBdr>
        <w:top w:val="nil"/>
        <w:left w:val="nil"/>
        <w:bottom w:val="nil"/>
        <w:right w:val="nil"/>
        <w:between w:val="nil"/>
      </w:pBdr>
      <w:spacing w:line="276" w:lineRule="auto"/>
      <w:rPr>
        <w:color w:val="40404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A7095" w14:paraId="58D5BD2E" w14:textId="77777777">
      <w:trPr>
        <w:trHeight w:val="840"/>
      </w:trPr>
      <w:tc>
        <w:tcPr>
          <w:tcW w:w="4462" w:type="dxa"/>
          <w:tcBorders>
            <w:top w:val="nil"/>
            <w:left w:val="nil"/>
            <w:bottom w:val="nil"/>
            <w:right w:val="nil"/>
          </w:tcBorders>
        </w:tcPr>
        <w:p w14:paraId="4D7393A9" w14:textId="77777777" w:rsidR="00EA7095" w:rsidRDefault="009C5606">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26DE537B" wp14:editId="3A356F13">
                <wp:extent cx="1105535" cy="589915"/>
                <wp:effectExtent l="0" t="0" r="0" b="0"/>
                <wp:docPr id="1057"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5F489D1" w14:textId="77777777" w:rsidR="00EA7095" w:rsidRDefault="00EA7095">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71580571" w14:textId="77777777" w:rsidR="00EA7095" w:rsidRDefault="009C5606">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2EF2FA21" wp14:editId="3A728FBE">
                <wp:extent cx="1638935" cy="561340"/>
                <wp:effectExtent l="0" t="0" r="0" b="0"/>
                <wp:docPr id="1059" name="image4.jpg" descr="UE EFRR_pol"/>
                <wp:cNvGraphicFramePr/>
                <a:graphic xmlns:a="http://schemas.openxmlformats.org/drawingml/2006/main">
                  <a:graphicData uri="http://schemas.openxmlformats.org/drawingml/2006/picture">
                    <pic:pic xmlns:pic="http://schemas.openxmlformats.org/drawingml/2006/picture">
                      <pic:nvPicPr>
                        <pic:cNvPr id="0" name="image4.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AC774BD" w14:textId="77777777" w:rsidR="00EA7095" w:rsidRDefault="00EA7095">
    <w:pPr>
      <w:pBdr>
        <w:top w:val="nil"/>
        <w:left w:val="nil"/>
        <w:bottom w:val="nil"/>
        <w:right w:val="nil"/>
        <w:between w:val="nil"/>
      </w:pBdr>
      <w:tabs>
        <w:tab w:val="center" w:pos="4320"/>
        <w:tab w:val="right" w:pos="8640"/>
      </w:tabs>
      <w:rPr>
        <w:color w:val="000000"/>
        <w:sz w:val="24"/>
        <w:szCs w:val="24"/>
      </w:rPr>
    </w:pPr>
  </w:p>
  <w:p w14:paraId="70D64721" w14:textId="77777777" w:rsidR="00EA7095" w:rsidRDefault="00EA7095">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6773C056" w14:textId="77777777" w:rsidR="00EA7095" w:rsidRDefault="00EA7095">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7BD"/>
    <w:multiLevelType w:val="multilevel"/>
    <w:tmpl w:val="558AE9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2"/>
        <w:szCs w:val="22"/>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31D629B8"/>
    <w:multiLevelType w:val="multilevel"/>
    <w:tmpl w:val="58B2FFAC"/>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95"/>
    <w:rsid w:val="002043D2"/>
    <w:rsid w:val="00432338"/>
    <w:rsid w:val="00441D78"/>
    <w:rsid w:val="004A693F"/>
    <w:rsid w:val="00711A9B"/>
    <w:rsid w:val="00875556"/>
    <w:rsid w:val="009C5606"/>
    <w:rsid w:val="00B52932"/>
    <w:rsid w:val="00D43C9F"/>
    <w:rsid w:val="00EA7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9FDD"/>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2"/>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2"/>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2"/>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2"/>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2"/>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2"/>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2"/>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2"/>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2"/>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ormalnyWeb">
    <w:name w:val="Normal (Web)"/>
    <w:basedOn w:val="Normalny"/>
    <w:uiPriority w:val="99"/>
    <w:semiHidden/>
    <w:unhideWhenUsed/>
    <w:rsid w:val="008F3285"/>
    <w:pPr>
      <w:spacing w:before="100" w:beforeAutospacing="1" w:after="100" w:afterAutospacing="1"/>
    </w:pPr>
    <w:rPr>
      <w:rFonts w:ascii="Times New Roman" w:eastAsia="Times New Roman" w:hAnsi="Times New Roman" w:cs="Times New Roman"/>
      <w:sz w:val="24"/>
      <w:szCs w:val="24"/>
      <w:lang w:val="pl-PL"/>
    </w:r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87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iebert@vigo.com.pl" TargetMode="External"/><Relationship Id="rId4" Type="http://schemas.openxmlformats.org/officeDocument/2006/relationships/settings" Target="settings.xml"/><Relationship Id="rId9" Type="http://schemas.openxmlformats.org/officeDocument/2006/relationships/hyperlink" Target="mailto:dnowak@vigo.com.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bpeB2aF0ZmQsvLmUyraIctdiw==">AMUW2mXMYOz2eZ9pepATzyoJExt25ezwipHEJ+WzZmXItLWVOnIX9vVWzl5Sdydauo5xt5f5NDD7Tf+oiB9i1Ep/uOT1T0zRBYCDyYuU05X1vRZLqe7WteWAievGwUnZ26CJ/a3UPIw6F3buxI3ewQ5AXkvvtCpO7YLzamlRS+7NIDw1DleDgnkpkX3WrH2uSqfAzZo1ryX8We5r2E/F+lCsESjN3PHRP8OC3csEwtbVJQ9syPQPoKGYz6+niNIao3LtaN4EGj7q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2824</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2021-02-24T13:08:00Z</dcterms:created>
  <dcterms:modified xsi:type="dcterms:W3CDTF">2021-02-25T14:20:00Z</dcterms:modified>
</cp:coreProperties>
</file>