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87D3" w14:textId="77777777" w:rsidR="00CB33E1" w:rsidRDefault="00DF2DF2">
      <w:pPr>
        <w:spacing w:before="100" w:after="0" w:line="360" w:lineRule="auto"/>
        <w:jc w:val="center"/>
        <w:rPr>
          <w:b/>
        </w:rPr>
      </w:pPr>
      <w:r>
        <w:rPr>
          <w:b/>
        </w:rPr>
        <w:t>OPIS PRZEDMIOTU ZAMÓWIENIA</w:t>
      </w:r>
    </w:p>
    <w:p w14:paraId="00FE9361" w14:textId="77777777" w:rsidR="00CB33E1" w:rsidRDefault="00DF2DF2">
      <w:pPr>
        <w:numPr>
          <w:ilvl w:val="0"/>
          <w:numId w:val="2"/>
        </w:numPr>
        <w:pBdr>
          <w:top w:val="nil"/>
          <w:left w:val="nil"/>
          <w:bottom w:val="nil"/>
          <w:right w:val="nil"/>
          <w:between w:val="nil"/>
        </w:pBdr>
        <w:spacing w:after="0" w:line="360" w:lineRule="auto"/>
        <w:rPr>
          <w:b/>
          <w:color w:val="000000"/>
          <w:u w:val="single"/>
        </w:rPr>
      </w:pPr>
      <w:r>
        <w:rPr>
          <w:b/>
          <w:color w:val="000000"/>
          <w:u w:val="single"/>
        </w:rPr>
        <w:t>Przedmiot zamówienia</w:t>
      </w:r>
    </w:p>
    <w:p w14:paraId="4168AF1A" w14:textId="7BE6C0FD" w:rsidR="00CB33E1" w:rsidRDefault="00DF2DF2">
      <w:pPr>
        <w:spacing w:after="0" w:line="240" w:lineRule="auto"/>
        <w:jc w:val="both"/>
      </w:pPr>
      <w:r>
        <w:t xml:space="preserve">Przedmiotem zamówienia jest dostawa </w:t>
      </w:r>
      <w:r w:rsidR="007174D9">
        <w:t xml:space="preserve">okien </w:t>
      </w:r>
      <w:r>
        <w:t>ZnSe AR, wymienionych poniżej wg nazwy i potrzebnej ilości:</w:t>
      </w:r>
    </w:p>
    <w:p w14:paraId="6812617E" w14:textId="2CC20B2C" w:rsidR="00CB33E1" w:rsidRDefault="007174D9">
      <w:pPr>
        <w:numPr>
          <w:ilvl w:val="0"/>
          <w:numId w:val="1"/>
        </w:numPr>
        <w:spacing w:before="100" w:after="0" w:line="240" w:lineRule="auto"/>
        <w:jc w:val="both"/>
      </w:pPr>
      <w:r>
        <w:t>Okna</w:t>
      </w:r>
      <w:r w:rsidR="00DF2DF2">
        <w:t xml:space="preserve"> ZnSe AR o średnicy 50,8 mm i grubości 0,8 mm</w:t>
      </w:r>
      <w:r w:rsidR="00DF2DF2">
        <w:tab/>
      </w:r>
      <w:r w:rsidR="00DF2DF2">
        <w:tab/>
      </w:r>
      <w:r w:rsidR="00DF2DF2">
        <w:tab/>
      </w:r>
      <w:r w:rsidR="00DF2DF2">
        <w:tab/>
        <w:t>20 szt.</w:t>
      </w:r>
    </w:p>
    <w:p w14:paraId="24331D67" w14:textId="77777777" w:rsidR="00CB33E1" w:rsidRDefault="00CB33E1">
      <w:pPr>
        <w:widowControl w:val="0"/>
        <w:spacing w:after="0"/>
        <w:ind w:left="1440"/>
      </w:pPr>
    </w:p>
    <w:p w14:paraId="57FBD135" w14:textId="77777777" w:rsidR="00CB33E1" w:rsidRDefault="00DF2DF2">
      <w:pPr>
        <w:numPr>
          <w:ilvl w:val="0"/>
          <w:numId w:val="2"/>
        </w:numPr>
        <w:pBdr>
          <w:top w:val="nil"/>
          <w:left w:val="nil"/>
          <w:bottom w:val="nil"/>
          <w:right w:val="nil"/>
          <w:between w:val="nil"/>
        </w:pBdr>
        <w:spacing w:after="0" w:line="360" w:lineRule="auto"/>
        <w:rPr>
          <w:b/>
          <w:color w:val="000000"/>
          <w:u w:val="single"/>
        </w:rPr>
      </w:pPr>
      <w:r>
        <w:rPr>
          <w:b/>
          <w:color w:val="000000"/>
          <w:u w:val="single"/>
        </w:rPr>
        <w:t>Zakres przedmiotu zamówienia</w:t>
      </w:r>
    </w:p>
    <w:p w14:paraId="7295C175" w14:textId="77777777" w:rsidR="00CB33E1" w:rsidRDefault="00DF2DF2">
      <w:pPr>
        <w:spacing w:after="0" w:line="240" w:lineRule="auto"/>
        <w:jc w:val="both"/>
      </w:pPr>
      <w:r>
        <w:t xml:space="preserve">Szczegółowy opis przedmiotu zamówienia znajduje się w punkcie 5 niniejszego dokumentu. </w:t>
      </w:r>
    </w:p>
    <w:p w14:paraId="762B9239" w14:textId="77777777" w:rsidR="00CB33E1" w:rsidRDefault="00DF2DF2">
      <w:pPr>
        <w:numPr>
          <w:ilvl w:val="0"/>
          <w:numId w:val="2"/>
        </w:numPr>
        <w:pBdr>
          <w:top w:val="nil"/>
          <w:left w:val="nil"/>
          <w:bottom w:val="nil"/>
          <w:right w:val="nil"/>
          <w:between w:val="nil"/>
        </w:pBdr>
        <w:spacing w:after="0" w:line="240" w:lineRule="auto"/>
        <w:jc w:val="both"/>
        <w:rPr>
          <w:b/>
          <w:color w:val="000000"/>
          <w:u w:val="single"/>
        </w:rPr>
      </w:pPr>
      <w:r>
        <w:rPr>
          <w:b/>
          <w:color w:val="000000"/>
          <w:u w:val="single"/>
        </w:rPr>
        <w:t>Kryteria</w:t>
      </w:r>
    </w:p>
    <w:p w14:paraId="00958421" w14:textId="77777777" w:rsidR="00CB33E1" w:rsidRDefault="00DF2DF2">
      <w:pPr>
        <w:pBdr>
          <w:top w:val="nil"/>
          <w:left w:val="nil"/>
          <w:bottom w:val="nil"/>
          <w:right w:val="nil"/>
          <w:between w:val="nil"/>
        </w:pBdr>
        <w:spacing w:after="0" w:line="360" w:lineRule="auto"/>
        <w:rPr>
          <w:b/>
          <w:color w:val="000000"/>
          <w:u w:val="single"/>
        </w:rPr>
      </w:pPr>
      <w:r>
        <w:t>Oferty oceniane będą wg skali punktowej z maksymalną liczbą punktów wynoszącą 100.</w:t>
      </w:r>
    </w:p>
    <w:tbl>
      <w:tblPr>
        <w:tblStyle w:val="a3"/>
        <w:tblW w:w="9353" w:type="dxa"/>
        <w:tblInd w:w="0" w:type="dxa"/>
        <w:tblLayout w:type="fixed"/>
        <w:tblLook w:val="0000" w:firstRow="0" w:lastRow="0" w:firstColumn="0" w:lastColumn="0" w:noHBand="0" w:noVBand="0"/>
      </w:tblPr>
      <w:tblGrid>
        <w:gridCol w:w="2974"/>
        <w:gridCol w:w="3119"/>
        <w:gridCol w:w="3260"/>
      </w:tblGrid>
      <w:tr w:rsidR="00CB33E1" w14:paraId="6B45A2A6"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02FA9D5D" w14:textId="77777777" w:rsidR="00CB33E1" w:rsidRDefault="00DF2DF2">
            <w:pPr>
              <w:widowControl w:val="0"/>
              <w:spacing w:after="0" w:line="240" w:lineRule="auto"/>
              <w:jc w:val="center"/>
            </w:pPr>
            <w:r>
              <w:t>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373B52D" w14:textId="77777777" w:rsidR="00CB33E1" w:rsidRDefault="00DF2DF2">
            <w:pPr>
              <w:widowControl w:val="0"/>
              <w:spacing w:after="0" w:line="240" w:lineRule="auto"/>
              <w:jc w:val="center"/>
            </w:pPr>
            <w:r>
              <w:t>Maksymalna ilość punktów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68FA741E" w14:textId="77777777" w:rsidR="00CB33E1" w:rsidRDefault="00DF2DF2">
            <w:pPr>
              <w:widowControl w:val="0"/>
              <w:spacing w:after="0" w:line="240" w:lineRule="auto"/>
              <w:jc w:val="center"/>
            </w:pPr>
            <w:r>
              <w:t>Metoda przyznawania punktów</w:t>
            </w:r>
          </w:p>
        </w:tc>
      </w:tr>
      <w:tr w:rsidR="00CB33E1" w14:paraId="7148E0B5"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697DAEE4" w14:textId="77777777" w:rsidR="00CB33E1" w:rsidRDefault="00DF2DF2">
            <w:pPr>
              <w:widowControl w:val="0"/>
              <w:spacing w:after="0" w:line="240" w:lineRule="auto"/>
            </w:pPr>
            <w:r>
              <w:t>Cena netto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5AB52F2" w14:textId="77777777" w:rsidR="00CB33E1" w:rsidRDefault="00DF2DF2">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6899D9E4" w14:textId="77777777" w:rsidR="00CB33E1" w:rsidRDefault="00DF2DF2">
            <w:pPr>
              <w:widowControl w:val="0"/>
              <w:spacing w:after="0" w:line="240" w:lineRule="auto"/>
              <w:jc w:val="center"/>
            </w:pPr>
            <w:r>
              <w:t>S x Pmin/Pi</w:t>
            </w:r>
          </w:p>
        </w:tc>
      </w:tr>
    </w:tbl>
    <w:p w14:paraId="13E17AA4" w14:textId="77777777" w:rsidR="00CB33E1" w:rsidRDefault="00DF2DF2">
      <w:pPr>
        <w:pBdr>
          <w:top w:val="nil"/>
          <w:left w:val="nil"/>
          <w:bottom w:val="nil"/>
          <w:right w:val="nil"/>
          <w:between w:val="nil"/>
        </w:pBdr>
        <w:spacing w:after="0" w:line="360" w:lineRule="auto"/>
        <w:rPr>
          <w:color w:val="000000"/>
        </w:rPr>
      </w:pPr>
      <w:bookmarkStart w:id="0" w:name="_heading=h.gjdgxs" w:colFirst="0" w:colLast="0"/>
      <w:bookmarkEnd w:id="0"/>
      <w:r>
        <w:rPr>
          <w:color w:val="000000"/>
        </w:rPr>
        <w:t>Gdzie:</w:t>
      </w:r>
    </w:p>
    <w:p w14:paraId="4C2A94DC" w14:textId="77777777" w:rsidR="00CB33E1" w:rsidRDefault="00DF2DF2">
      <w:pPr>
        <w:numPr>
          <w:ilvl w:val="0"/>
          <w:numId w:val="3"/>
        </w:numPr>
        <w:spacing w:after="0" w:line="240" w:lineRule="auto"/>
        <w:jc w:val="both"/>
      </w:pPr>
      <w:r>
        <w:t>Pi – cena netto towarów wraz z dostawą - dla danej przedłożonej oferty</w:t>
      </w:r>
    </w:p>
    <w:p w14:paraId="189D8701" w14:textId="77777777" w:rsidR="00CB33E1" w:rsidRDefault="00DF2DF2">
      <w:pPr>
        <w:numPr>
          <w:ilvl w:val="0"/>
          <w:numId w:val="3"/>
        </w:numPr>
        <w:spacing w:after="0" w:line="240" w:lineRule="auto"/>
        <w:jc w:val="both"/>
      </w:pPr>
      <w:r>
        <w:t>Pmin - minimalna cena netto zamawianych towarów spośród wszystkich przedłożonych ofert</w:t>
      </w:r>
    </w:p>
    <w:p w14:paraId="6E50E4FD" w14:textId="77777777" w:rsidR="00CB33E1" w:rsidRDefault="00DF2DF2">
      <w:pPr>
        <w:numPr>
          <w:ilvl w:val="0"/>
          <w:numId w:val="3"/>
        </w:numPr>
        <w:spacing w:after="0" w:line="240" w:lineRule="auto"/>
        <w:jc w:val="both"/>
      </w:pPr>
      <w:r>
        <w:t>S – liczba punktów</w:t>
      </w:r>
    </w:p>
    <w:p w14:paraId="306D9D85" w14:textId="77777777" w:rsidR="00CB33E1" w:rsidRDefault="00CB33E1">
      <w:pPr>
        <w:spacing w:after="0" w:line="240" w:lineRule="auto"/>
        <w:jc w:val="both"/>
      </w:pPr>
      <w:bookmarkStart w:id="1" w:name="_heading=h.30j0zll" w:colFirst="0" w:colLast="0"/>
      <w:bookmarkEnd w:id="1"/>
    </w:p>
    <w:p w14:paraId="7840C876" w14:textId="77777777" w:rsidR="00CB33E1" w:rsidRDefault="00DF2DF2">
      <w:pPr>
        <w:spacing w:after="0" w:line="240" w:lineRule="auto"/>
        <w:jc w:val="both"/>
      </w:pPr>
      <w:bookmarkStart w:id="2" w:name="_heading=h.97jwjejhucb3" w:colFirst="0" w:colLast="0"/>
      <w:bookmarkEnd w:id="2"/>
      <w:r>
        <w:t>Końcowa punktacja zostanie wyliczona poprzez zsumowanie składowych cząstkowych</w:t>
      </w:r>
      <w:r>
        <w:t>, a następnie zaokrąglona do dwóch miejsc po przecinku. (zaokrąglając od „5” w górę).</w:t>
      </w:r>
    </w:p>
    <w:p w14:paraId="68574C34" w14:textId="77777777" w:rsidR="00CB33E1" w:rsidRDefault="00DF2DF2">
      <w:pPr>
        <w:spacing w:after="0" w:line="240" w:lineRule="auto"/>
        <w:jc w:val="both"/>
      </w:pPr>
      <w:r>
        <w:t>Waluta oferty PLN lub EURO</w:t>
      </w:r>
    </w:p>
    <w:p w14:paraId="7813521C" w14:textId="77777777" w:rsidR="00CB33E1" w:rsidRDefault="00CB33E1">
      <w:pPr>
        <w:spacing w:after="0" w:line="240" w:lineRule="auto"/>
        <w:jc w:val="both"/>
      </w:pPr>
    </w:p>
    <w:p w14:paraId="1841F99B" w14:textId="77777777" w:rsidR="00CB33E1" w:rsidRDefault="00CB33E1">
      <w:pPr>
        <w:spacing w:after="0" w:line="240" w:lineRule="auto"/>
        <w:jc w:val="both"/>
      </w:pPr>
      <w:bookmarkStart w:id="3" w:name="_heading=h.zhvo95htzmrn" w:colFirst="0" w:colLast="0"/>
      <w:bookmarkEnd w:id="3"/>
    </w:p>
    <w:p w14:paraId="3611657C" w14:textId="77777777" w:rsidR="00CB33E1" w:rsidRDefault="00DF2DF2">
      <w:pPr>
        <w:numPr>
          <w:ilvl w:val="0"/>
          <w:numId w:val="2"/>
        </w:numPr>
        <w:pBdr>
          <w:top w:val="nil"/>
          <w:left w:val="nil"/>
          <w:bottom w:val="nil"/>
          <w:right w:val="nil"/>
          <w:between w:val="nil"/>
        </w:pBdr>
        <w:spacing w:after="0" w:line="360" w:lineRule="auto"/>
        <w:rPr>
          <w:b/>
          <w:color w:val="000000"/>
          <w:u w:val="single"/>
        </w:rPr>
      </w:pPr>
      <w:r>
        <w:rPr>
          <w:b/>
          <w:color w:val="000000"/>
          <w:u w:val="single"/>
        </w:rPr>
        <w:t>Termin wykonania zamówienia</w:t>
      </w:r>
    </w:p>
    <w:p w14:paraId="546F0609" w14:textId="77777777" w:rsidR="00CB33E1" w:rsidRDefault="00DF2DF2">
      <w:pPr>
        <w:pBdr>
          <w:top w:val="nil"/>
          <w:left w:val="nil"/>
          <w:bottom w:val="nil"/>
          <w:right w:val="nil"/>
          <w:between w:val="nil"/>
        </w:pBdr>
        <w:spacing w:after="0" w:line="360" w:lineRule="auto"/>
        <w:ind w:left="360"/>
      </w:pPr>
      <w:bookmarkStart w:id="4" w:name="_heading=h.1fob9te" w:colFirst="0" w:colLast="0"/>
      <w:bookmarkEnd w:id="4"/>
      <w:r>
        <w:t>10</w:t>
      </w:r>
      <w:r>
        <w:t xml:space="preserve"> tygodni od dnia podpisania umowy. Zamawiający wymaga zastosowania zasady dostawy EXW  Incoterms 2020. EXW (ex works) tj. za moment dostarczenia towaru uznaje się pozostawienie go do dyspozycji kupującego na terenie wskazanym przez dostawcę (fabryka, zakła</w:t>
      </w:r>
      <w:r>
        <w:t>d itp.).</w:t>
      </w:r>
    </w:p>
    <w:p w14:paraId="424765C1" w14:textId="77777777" w:rsidR="00CB33E1" w:rsidRDefault="00DF2DF2">
      <w:pPr>
        <w:numPr>
          <w:ilvl w:val="0"/>
          <w:numId w:val="2"/>
        </w:numPr>
        <w:pBdr>
          <w:top w:val="nil"/>
          <w:left w:val="nil"/>
          <w:bottom w:val="nil"/>
          <w:right w:val="nil"/>
          <w:between w:val="nil"/>
        </w:pBdr>
        <w:spacing w:after="0" w:line="360" w:lineRule="auto"/>
        <w:rPr>
          <w:b/>
          <w:color w:val="000000"/>
          <w:u w:val="single"/>
        </w:rPr>
      </w:pPr>
      <w:r>
        <w:rPr>
          <w:b/>
          <w:color w:val="000000"/>
          <w:u w:val="single"/>
        </w:rPr>
        <w:t xml:space="preserve">Parametry </w:t>
      </w:r>
    </w:p>
    <w:p w14:paraId="481778D3" w14:textId="77777777" w:rsidR="00CB33E1" w:rsidRDefault="00DF2DF2">
      <w:pPr>
        <w:pBdr>
          <w:top w:val="nil"/>
          <w:left w:val="nil"/>
          <w:bottom w:val="nil"/>
          <w:right w:val="nil"/>
          <w:between w:val="nil"/>
        </w:pBdr>
        <w:spacing w:after="0" w:line="360" w:lineRule="auto"/>
        <w:ind w:left="360"/>
        <w:rPr>
          <w:b/>
          <w:color w:val="000000"/>
          <w:u w:val="single"/>
        </w:rPr>
      </w:pPr>
      <w:r>
        <w:rPr>
          <w:b/>
          <w:color w:val="000000"/>
          <w:u w:val="single"/>
        </w:rPr>
        <w:t>5.1 Szczegółowy zakres przedmiotu</w:t>
      </w:r>
    </w:p>
    <w:tbl>
      <w:tblPr>
        <w:tblStyle w:val="a4"/>
        <w:tblW w:w="1048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4635"/>
        <w:gridCol w:w="4111"/>
      </w:tblGrid>
      <w:tr w:rsidR="00CB33E1" w14:paraId="4A8DA020" w14:textId="77777777">
        <w:trPr>
          <w:trHeight w:val="240"/>
        </w:trPr>
        <w:tc>
          <w:tcPr>
            <w:tcW w:w="1740" w:type="dxa"/>
            <w:shd w:val="clear" w:color="auto" w:fill="DDDDDD"/>
            <w:tcMar>
              <w:top w:w="55" w:type="dxa"/>
              <w:left w:w="55" w:type="dxa"/>
              <w:bottom w:w="55" w:type="dxa"/>
              <w:right w:w="55" w:type="dxa"/>
            </w:tcMar>
            <w:vAlign w:val="center"/>
          </w:tcPr>
          <w:p w14:paraId="47831D14" w14:textId="77777777" w:rsidR="00CB33E1" w:rsidRDefault="00DF2DF2">
            <w:pPr>
              <w:widowControl w:val="0"/>
              <w:pBdr>
                <w:top w:val="nil"/>
                <w:left w:val="nil"/>
                <w:bottom w:val="nil"/>
                <w:right w:val="nil"/>
                <w:between w:val="nil"/>
              </w:pBdr>
              <w:spacing w:after="0" w:line="240" w:lineRule="auto"/>
              <w:jc w:val="center"/>
              <w:rPr>
                <w:color w:val="000000"/>
                <w:sz w:val="16"/>
                <w:szCs w:val="16"/>
              </w:rPr>
            </w:pPr>
            <w:bookmarkStart w:id="5" w:name="_heading=h.3znysh7" w:colFirst="0" w:colLast="0"/>
            <w:bookmarkEnd w:id="5"/>
            <w:r>
              <w:rPr>
                <w:color w:val="000000"/>
                <w:sz w:val="16"/>
                <w:szCs w:val="16"/>
              </w:rPr>
              <w:t>Nazwa towaru</w:t>
            </w:r>
          </w:p>
        </w:tc>
        <w:tc>
          <w:tcPr>
            <w:tcW w:w="4635" w:type="dxa"/>
            <w:shd w:val="clear" w:color="auto" w:fill="DDDDDD"/>
            <w:tcMar>
              <w:top w:w="55" w:type="dxa"/>
              <w:left w:w="55" w:type="dxa"/>
              <w:bottom w:w="55" w:type="dxa"/>
              <w:right w:w="55" w:type="dxa"/>
            </w:tcMar>
          </w:tcPr>
          <w:p w14:paraId="0BFF6DB9" w14:textId="77777777" w:rsidR="00CB33E1" w:rsidRDefault="00DF2DF2">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Parametr </w:t>
            </w:r>
          </w:p>
        </w:tc>
        <w:tc>
          <w:tcPr>
            <w:tcW w:w="4111" w:type="dxa"/>
            <w:shd w:val="clear" w:color="auto" w:fill="DDDDDD"/>
          </w:tcPr>
          <w:p w14:paraId="6121036F" w14:textId="77777777" w:rsidR="00CB33E1" w:rsidRDefault="00DF2DF2">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Specyfikacja</w:t>
            </w:r>
          </w:p>
        </w:tc>
      </w:tr>
      <w:tr w:rsidR="00CB33E1" w14:paraId="5910E4D2" w14:textId="77777777">
        <w:trPr>
          <w:trHeight w:val="240"/>
        </w:trPr>
        <w:tc>
          <w:tcPr>
            <w:tcW w:w="1740" w:type="dxa"/>
            <w:vMerge w:val="restart"/>
            <w:tcMar>
              <w:top w:w="55" w:type="dxa"/>
              <w:left w:w="55" w:type="dxa"/>
              <w:bottom w:w="55" w:type="dxa"/>
              <w:right w:w="55" w:type="dxa"/>
            </w:tcMar>
            <w:vAlign w:val="center"/>
          </w:tcPr>
          <w:p w14:paraId="3644CD8F" w14:textId="2A7E14D0" w:rsidR="00CB33E1" w:rsidRDefault="007174D9">
            <w:pPr>
              <w:spacing w:before="100" w:after="0" w:line="240" w:lineRule="auto"/>
              <w:jc w:val="both"/>
              <w:rPr>
                <w:color w:val="000000"/>
              </w:rPr>
            </w:pPr>
            <w:r>
              <w:t>okno</w:t>
            </w:r>
            <w:r w:rsidR="00DF2DF2">
              <w:t xml:space="preserve"> ZnSe AR</w:t>
            </w:r>
          </w:p>
        </w:tc>
        <w:tc>
          <w:tcPr>
            <w:tcW w:w="4635" w:type="dxa"/>
            <w:tcMar>
              <w:top w:w="55" w:type="dxa"/>
              <w:left w:w="55" w:type="dxa"/>
              <w:bottom w:w="55" w:type="dxa"/>
              <w:right w:w="55" w:type="dxa"/>
            </w:tcMar>
            <w:vAlign w:val="center"/>
          </w:tcPr>
          <w:p w14:paraId="088EA9F0" w14:textId="77777777" w:rsidR="00CB33E1" w:rsidRDefault="00DF2DF2">
            <w:pPr>
              <w:spacing w:after="0" w:line="240" w:lineRule="auto"/>
              <w:rPr>
                <w:color w:val="000000"/>
              </w:rPr>
            </w:pPr>
            <w:r>
              <w:t>Wymiary:</w:t>
            </w:r>
          </w:p>
        </w:tc>
        <w:tc>
          <w:tcPr>
            <w:tcW w:w="4111" w:type="dxa"/>
            <w:vAlign w:val="bottom"/>
          </w:tcPr>
          <w:p w14:paraId="641A1E7F" w14:textId="77777777" w:rsidR="00CB33E1" w:rsidRDefault="00DF2DF2">
            <w:pPr>
              <w:spacing w:after="0" w:line="240" w:lineRule="auto"/>
              <w:jc w:val="center"/>
            </w:pPr>
            <w:r>
              <w:t>Średnica 50,8 mm x grubość 0,8 mm</w:t>
            </w:r>
          </w:p>
        </w:tc>
      </w:tr>
      <w:tr w:rsidR="00CB33E1" w14:paraId="7BA6CC9A" w14:textId="77777777">
        <w:trPr>
          <w:trHeight w:val="240"/>
        </w:trPr>
        <w:tc>
          <w:tcPr>
            <w:tcW w:w="1740" w:type="dxa"/>
            <w:vMerge/>
            <w:tcMar>
              <w:top w:w="55" w:type="dxa"/>
              <w:left w:w="55" w:type="dxa"/>
              <w:bottom w:w="55" w:type="dxa"/>
              <w:right w:w="55" w:type="dxa"/>
            </w:tcMar>
            <w:vAlign w:val="center"/>
          </w:tcPr>
          <w:p w14:paraId="782741B3"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15106212" w14:textId="77777777" w:rsidR="00CB33E1" w:rsidRDefault="00DF2DF2">
            <w:pPr>
              <w:spacing w:after="0" w:line="240" w:lineRule="auto"/>
              <w:rPr>
                <w:color w:val="000000"/>
              </w:rPr>
            </w:pPr>
            <w:r>
              <w:t>Materiał:</w:t>
            </w:r>
          </w:p>
        </w:tc>
        <w:tc>
          <w:tcPr>
            <w:tcW w:w="4111" w:type="dxa"/>
            <w:vAlign w:val="bottom"/>
          </w:tcPr>
          <w:p w14:paraId="308F11B3" w14:textId="77777777" w:rsidR="00CB33E1" w:rsidRDefault="00DF2DF2">
            <w:pPr>
              <w:spacing w:after="0" w:line="240" w:lineRule="auto"/>
              <w:jc w:val="center"/>
            </w:pPr>
            <w:r>
              <w:t>ZnSe</w:t>
            </w:r>
          </w:p>
        </w:tc>
      </w:tr>
      <w:tr w:rsidR="00CB33E1" w14:paraId="09060086" w14:textId="77777777">
        <w:trPr>
          <w:trHeight w:val="240"/>
        </w:trPr>
        <w:tc>
          <w:tcPr>
            <w:tcW w:w="1740" w:type="dxa"/>
            <w:vMerge/>
            <w:tcMar>
              <w:top w:w="55" w:type="dxa"/>
              <w:left w:w="55" w:type="dxa"/>
              <w:bottom w:w="55" w:type="dxa"/>
              <w:right w:w="55" w:type="dxa"/>
            </w:tcMar>
            <w:vAlign w:val="center"/>
          </w:tcPr>
          <w:p w14:paraId="49042236"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3EA14B9B" w14:textId="77777777" w:rsidR="00CB33E1" w:rsidRDefault="00DF2DF2">
            <w:pPr>
              <w:spacing w:after="0" w:line="240" w:lineRule="auto"/>
            </w:pPr>
            <w:r>
              <w:rPr>
                <w:color w:val="000000"/>
              </w:rPr>
              <w:t>Pokrycie:</w:t>
            </w:r>
          </w:p>
        </w:tc>
        <w:tc>
          <w:tcPr>
            <w:tcW w:w="4111" w:type="dxa"/>
            <w:vAlign w:val="bottom"/>
          </w:tcPr>
          <w:p w14:paraId="4CDE58EB" w14:textId="77777777" w:rsidR="00CB33E1" w:rsidRDefault="00DF2DF2">
            <w:pPr>
              <w:spacing w:after="0" w:line="240" w:lineRule="auto"/>
              <w:jc w:val="center"/>
            </w:pPr>
            <w:r>
              <w:t>AR 2-14 µm</w:t>
            </w:r>
          </w:p>
        </w:tc>
      </w:tr>
      <w:tr w:rsidR="00CB33E1" w14:paraId="3CD4F6FB" w14:textId="77777777">
        <w:trPr>
          <w:trHeight w:val="240"/>
        </w:trPr>
        <w:tc>
          <w:tcPr>
            <w:tcW w:w="1740" w:type="dxa"/>
            <w:vMerge/>
            <w:tcMar>
              <w:top w:w="55" w:type="dxa"/>
              <w:left w:w="55" w:type="dxa"/>
              <w:bottom w:w="55" w:type="dxa"/>
              <w:right w:w="55" w:type="dxa"/>
            </w:tcMar>
            <w:vAlign w:val="center"/>
          </w:tcPr>
          <w:p w14:paraId="464EBD4A"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55C0AAF4" w14:textId="77777777" w:rsidR="00CB33E1" w:rsidRDefault="00DF2DF2">
            <w:pPr>
              <w:spacing w:after="0" w:line="240" w:lineRule="auto"/>
              <w:rPr>
                <w:color w:val="000000"/>
              </w:rPr>
            </w:pPr>
            <w:r>
              <w:rPr>
                <w:color w:val="000000"/>
              </w:rPr>
              <w:t>Rozmiar (tolerancja):</w:t>
            </w:r>
          </w:p>
        </w:tc>
        <w:tc>
          <w:tcPr>
            <w:tcW w:w="4111" w:type="dxa"/>
            <w:vAlign w:val="bottom"/>
          </w:tcPr>
          <w:p w14:paraId="5B6B4222" w14:textId="77777777" w:rsidR="00CB33E1" w:rsidRDefault="00DF2DF2">
            <w:pPr>
              <w:spacing w:after="0" w:line="240" w:lineRule="auto"/>
              <w:jc w:val="center"/>
            </w:pPr>
            <w:r>
              <w:t>Średnica 2”</w:t>
            </w:r>
          </w:p>
        </w:tc>
      </w:tr>
      <w:tr w:rsidR="00CB33E1" w14:paraId="6649FED6" w14:textId="77777777">
        <w:trPr>
          <w:trHeight w:val="240"/>
        </w:trPr>
        <w:tc>
          <w:tcPr>
            <w:tcW w:w="1740" w:type="dxa"/>
            <w:vMerge w:val="restart"/>
            <w:tcMar>
              <w:top w:w="55" w:type="dxa"/>
              <w:left w:w="55" w:type="dxa"/>
              <w:bottom w:w="55" w:type="dxa"/>
              <w:right w:w="55" w:type="dxa"/>
            </w:tcMar>
            <w:vAlign w:val="center"/>
          </w:tcPr>
          <w:p w14:paraId="5113D2D9" w14:textId="77777777" w:rsidR="00CB33E1" w:rsidRDefault="00CB33E1">
            <w:pPr>
              <w:widowControl w:val="0"/>
              <w:spacing w:after="0"/>
            </w:pPr>
          </w:p>
        </w:tc>
        <w:tc>
          <w:tcPr>
            <w:tcW w:w="4635" w:type="dxa"/>
            <w:tcMar>
              <w:top w:w="55" w:type="dxa"/>
              <w:left w:w="55" w:type="dxa"/>
              <w:bottom w:w="55" w:type="dxa"/>
              <w:right w:w="55" w:type="dxa"/>
            </w:tcMar>
            <w:vAlign w:val="center"/>
          </w:tcPr>
          <w:p w14:paraId="008CBC9B" w14:textId="77777777" w:rsidR="00CB33E1" w:rsidRDefault="00DF2DF2">
            <w:pPr>
              <w:spacing w:after="0" w:line="240" w:lineRule="auto"/>
            </w:pPr>
            <w:r>
              <w:t>Kształt:</w:t>
            </w:r>
          </w:p>
        </w:tc>
        <w:tc>
          <w:tcPr>
            <w:tcW w:w="4111" w:type="dxa"/>
            <w:vAlign w:val="bottom"/>
          </w:tcPr>
          <w:p w14:paraId="322C3DC2" w14:textId="77777777" w:rsidR="00CB33E1" w:rsidRDefault="00DF2DF2">
            <w:pPr>
              <w:spacing w:after="0" w:line="240" w:lineRule="auto"/>
              <w:jc w:val="center"/>
            </w:pPr>
            <w:r>
              <w:t>płaskie</w:t>
            </w:r>
          </w:p>
        </w:tc>
      </w:tr>
      <w:tr w:rsidR="00CB33E1" w14:paraId="1AA5CC4F" w14:textId="77777777">
        <w:trPr>
          <w:trHeight w:val="240"/>
        </w:trPr>
        <w:tc>
          <w:tcPr>
            <w:tcW w:w="1740" w:type="dxa"/>
            <w:vMerge/>
            <w:tcMar>
              <w:top w:w="55" w:type="dxa"/>
              <w:left w:w="55" w:type="dxa"/>
              <w:bottom w:w="55" w:type="dxa"/>
              <w:right w:w="55" w:type="dxa"/>
            </w:tcMar>
            <w:vAlign w:val="center"/>
          </w:tcPr>
          <w:p w14:paraId="3FC24866"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1B603B63" w14:textId="77777777" w:rsidR="00CB33E1" w:rsidRDefault="00DF2DF2">
            <w:pPr>
              <w:spacing w:after="0" w:line="240" w:lineRule="auto"/>
            </w:pPr>
            <w:r>
              <w:t>Grubość ogólnie (tolerancja):</w:t>
            </w:r>
          </w:p>
        </w:tc>
        <w:tc>
          <w:tcPr>
            <w:tcW w:w="4111" w:type="dxa"/>
            <w:vAlign w:val="bottom"/>
          </w:tcPr>
          <w:p w14:paraId="55D2FFA2" w14:textId="77777777" w:rsidR="00CB33E1" w:rsidRDefault="00DF2DF2">
            <w:pPr>
              <w:spacing w:after="0" w:line="240" w:lineRule="auto"/>
              <w:jc w:val="center"/>
            </w:pPr>
            <w:r>
              <w:t>0.8 mm (+/- 0,1 mm)</w:t>
            </w:r>
          </w:p>
        </w:tc>
      </w:tr>
      <w:tr w:rsidR="00CB33E1" w14:paraId="744608A2" w14:textId="77777777">
        <w:trPr>
          <w:trHeight w:val="240"/>
        </w:trPr>
        <w:tc>
          <w:tcPr>
            <w:tcW w:w="1740" w:type="dxa"/>
            <w:tcMar>
              <w:top w:w="55" w:type="dxa"/>
              <w:left w:w="55" w:type="dxa"/>
              <w:bottom w:w="55" w:type="dxa"/>
              <w:right w:w="55" w:type="dxa"/>
            </w:tcMar>
            <w:vAlign w:val="center"/>
          </w:tcPr>
          <w:p w14:paraId="659BC019"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23257146" w14:textId="77777777" w:rsidR="00CB33E1" w:rsidRDefault="00DF2DF2">
            <w:pPr>
              <w:spacing w:after="0" w:line="240" w:lineRule="auto"/>
            </w:pPr>
            <w:r>
              <w:t>Szczegóły pokrycia:</w:t>
            </w:r>
          </w:p>
        </w:tc>
        <w:tc>
          <w:tcPr>
            <w:tcW w:w="4111" w:type="dxa"/>
            <w:vAlign w:val="bottom"/>
          </w:tcPr>
          <w:p w14:paraId="6E775D5F" w14:textId="77777777" w:rsidR="00CB33E1" w:rsidRDefault="00DF2DF2">
            <w:pPr>
              <w:spacing w:after="0" w:line="240" w:lineRule="auto"/>
              <w:jc w:val="center"/>
            </w:pPr>
            <w:r>
              <w:t>Obie strony AR, 2 – 14 µm</w:t>
            </w:r>
            <w:r>
              <w:br/>
              <w:t>Trmin &gt; 91%  3 – 12 µm; &gt; 80%  12-14 µm</w:t>
            </w:r>
          </w:p>
        </w:tc>
      </w:tr>
      <w:tr w:rsidR="00CB33E1" w14:paraId="6B8B73EF" w14:textId="77777777">
        <w:trPr>
          <w:trHeight w:val="240"/>
        </w:trPr>
        <w:tc>
          <w:tcPr>
            <w:tcW w:w="1740" w:type="dxa"/>
            <w:tcMar>
              <w:top w:w="55" w:type="dxa"/>
              <w:left w:w="55" w:type="dxa"/>
              <w:bottom w:w="55" w:type="dxa"/>
              <w:right w:w="55" w:type="dxa"/>
            </w:tcMar>
            <w:vAlign w:val="center"/>
          </w:tcPr>
          <w:p w14:paraId="3DC62A42"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7650061B" w14:textId="77777777" w:rsidR="00CB33E1" w:rsidRDefault="00DF2DF2">
            <w:pPr>
              <w:spacing w:after="0" w:line="240" w:lineRule="auto"/>
            </w:pPr>
            <w:r>
              <w:t>Apertura przezroczystości:</w:t>
            </w:r>
          </w:p>
        </w:tc>
        <w:tc>
          <w:tcPr>
            <w:tcW w:w="4111" w:type="dxa"/>
            <w:vAlign w:val="bottom"/>
          </w:tcPr>
          <w:p w14:paraId="77073BBB" w14:textId="77777777" w:rsidR="00CB33E1" w:rsidRDefault="00DF2DF2">
            <w:pPr>
              <w:spacing w:after="0" w:line="240" w:lineRule="auto"/>
              <w:jc w:val="center"/>
            </w:pPr>
            <w:r>
              <w:t>90%</w:t>
            </w:r>
          </w:p>
        </w:tc>
      </w:tr>
      <w:tr w:rsidR="00CB33E1" w14:paraId="0EB5499D" w14:textId="77777777">
        <w:trPr>
          <w:trHeight w:val="240"/>
        </w:trPr>
        <w:tc>
          <w:tcPr>
            <w:tcW w:w="1740" w:type="dxa"/>
            <w:tcMar>
              <w:top w:w="55" w:type="dxa"/>
              <w:left w:w="55" w:type="dxa"/>
              <w:bottom w:w="55" w:type="dxa"/>
              <w:right w:w="55" w:type="dxa"/>
            </w:tcMar>
            <w:vAlign w:val="center"/>
          </w:tcPr>
          <w:p w14:paraId="5FEB9387" w14:textId="77777777" w:rsidR="00CB33E1" w:rsidRDefault="00CB33E1">
            <w:pPr>
              <w:widowControl w:val="0"/>
              <w:pBdr>
                <w:top w:val="nil"/>
                <w:left w:val="nil"/>
                <w:bottom w:val="nil"/>
                <w:right w:val="nil"/>
                <w:between w:val="nil"/>
              </w:pBdr>
              <w:spacing w:after="0"/>
            </w:pPr>
          </w:p>
        </w:tc>
        <w:tc>
          <w:tcPr>
            <w:tcW w:w="4635" w:type="dxa"/>
            <w:tcMar>
              <w:top w:w="55" w:type="dxa"/>
              <w:left w:w="55" w:type="dxa"/>
              <w:bottom w:w="55" w:type="dxa"/>
              <w:right w:w="55" w:type="dxa"/>
            </w:tcMar>
            <w:vAlign w:val="center"/>
          </w:tcPr>
          <w:p w14:paraId="6B879E0C" w14:textId="77777777" w:rsidR="00CB33E1" w:rsidRDefault="00DF2DF2">
            <w:pPr>
              <w:spacing w:after="0" w:line="240" w:lineRule="auto"/>
            </w:pPr>
            <w:r>
              <w:t>Wykończenie powierzchni:</w:t>
            </w:r>
          </w:p>
        </w:tc>
        <w:tc>
          <w:tcPr>
            <w:tcW w:w="4111" w:type="dxa"/>
            <w:vAlign w:val="bottom"/>
          </w:tcPr>
          <w:p w14:paraId="4CC723CD" w14:textId="77777777" w:rsidR="00CB33E1" w:rsidRDefault="00DF2DF2">
            <w:pPr>
              <w:spacing w:after="0" w:line="240" w:lineRule="auto"/>
              <w:jc w:val="center"/>
            </w:pPr>
            <w:r>
              <w:t>S/D: 40/20</w:t>
            </w:r>
            <w:r>
              <w:br/>
            </w:r>
            <w:r>
              <w:t>polerowanie: obie strony polerowane</w:t>
            </w:r>
            <w:r>
              <w:br/>
              <w:t>fazowanie: minimalny ukos</w:t>
            </w:r>
          </w:p>
        </w:tc>
      </w:tr>
    </w:tbl>
    <w:p w14:paraId="5BD5D337" w14:textId="77777777" w:rsidR="00CB33E1" w:rsidRDefault="00CB33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14D440" w14:textId="77777777" w:rsidR="00CB33E1" w:rsidRDefault="00CB33E1">
      <w:pPr>
        <w:spacing w:after="0" w:line="360" w:lineRule="auto"/>
      </w:pPr>
    </w:p>
    <w:sectPr w:rsidR="00CB33E1">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E3F7" w14:textId="77777777" w:rsidR="00DF2DF2" w:rsidRDefault="00DF2DF2">
      <w:pPr>
        <w:spacing w:after="0" w:line="240" w:lineRule="auto"/>
      </w:pPr>
      <w:r>
        <w:separator/>
      </w:r>
    </w:p>
  </w:endnote>
  <w:endnote w:type="continuationSeparator" w:id="0">
    <w:p w14:paraId="236956D8" w14:textId="77777777" w:rsidR="00DF2DF2" w:rsidRDefault="00DF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4731" w14:textId="77777777" w:rsidR="00DF2DF2" w:rsidRDefault="00DF2DF2">
      <w:pPr>
        <w:spacing w:after="0" w:line="240" w:lineRule="auto"/>
      </w:pPr>
      <w:r>
        <w:separator/>
      </w:r>
    </w:p>
  </w:footnote>
  <w:footnote w:type="continuationSeparator" w:id="0">
    <w:p w14:paraId="287C7700" w14:textId="77777777" w:rsidR="00DF2DF2" w:rsidRDefault="00DF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A43E" w14:textId="77777777" w:rsidR="00CB33E1" w:rsidRDefault="00DF2DF2">
    <w:pPr>
      <w:pBdr>
        <w:top w:val="nil"/>
        <w:left w:val="nil"/>
        <w:bottom w:val="nil"/>
        <w:right w:val="nil"/>
        <w:between w:val="nil"/>
      </w:pBdr>
      <w:tabs>
        <w:tab w:val="left" w:pos="4320"/>
        <w:tab w:val="center" w:pos="4536"/>
        <w:tab w:val="right" w:pos="9072"/>
        <w:tab w:val="right" w:pos="9782"/>
      </w:tabs>
      <w:spacing w:after="0" w:line="240" w:lineRule="auto"/>
      <w:jc w:val="right"/>
      <w:rPr>
        <w:color w:val="000000"/>
        <w:sz w:val="20"/>
        <w:szCs w:val="20"/>
      </w:rPr>
    </w:pPr>
    <w:r>
      <w:rPr>
        <w:color w:val="000000"/>
        <w:sz w:val="20"/>
        <w:szCs w:val="20"/>
      </w:rPr>
      <w:tab/>
    </w:r>
    <w:r>
      <w:rPr>
        <w:noProof/>
        <w:color w:val="000000"/>
        <w:sz w:val="20"/>
        <w:szCs w:val="20"/>
      </w:rPr>
      <w:drawing>
        <wp:inline distT="0" distB="0" distL="0" distR="0" wp14:anchorId="23C7F6F8" wp14:editId="495A3E1E">
          <wp:extent cx="6211570" cy="729859"/>
          <wp:effectExtent l="0" t="0" r="0" b="0"/>
          <wp:docPr id="2" name="image1.png" descr="C:\Users\tratajczyk\AppData\Local\Microsoft\Windows\INetCache\Content.MSO\332FE88D.tmp"/>
          <wp:cNvGraphicFramePr/>
          <a:graphic xmlns:a="http://schemas.openxmlformats.org/drawingml/2006/main">
            <a:graphicData uri="http://schemas.openxmlformats.org/drawingml/2006/picture">
              <pic:pic xmlns:pic="http://schemas.openxmlformats.org/drawingml/2006/picture">
                <pic:nvPicPr>
                  <pic:cNvPr id="0" name="image1.png" descr="C:\Users\tratajczyk\AppData\Local\Microsoft\Windows\INetCache\Content.MSO\332FE88D.tmp"/>
                  <pic:cNvPicPr preferRelativeResize="0"/>
                </pic:nvPicPr>
                <pic:blipFill>
                  <a:blip r:embed="rId1"/>
                  <a:srcRect/>
                  <a:stretch>
                    <a:fillRect/>
                  </a:stretch>
                </pic:blipFill>
                <pic:spPr>
                  <a:xfrm>
                    <a:off x="0" y="0"/>
                    <a:ext cx="6211570" cy="729859"/>
                  </a:xfrm>
                  <a:prstGeom prst="rect">
                    <a:avLst/>
                  </a:prstGeom>
                  <a:ln/>
                </pic:spPr>
              </pic:pic>
            </a:graphicData>
          </a:graphic>
        </wp:inline>
      </w:drawing>
    </w:r>
    <w:r>
      <w:rPr>
        <w:color w:val="000000"/>
        <w:sz w:val="20"/>
        <w:szCs w:val="20"/>
      </w:rPr>
      <w:tab/>
    </w:r>
    <w:r>
      <w:rPr>
        <w:color w:val="000000"/>
        <w:sz w:val="20"/>
        <w:szCs w:val="20"/>
      </w:rPr>
      <w:tab/>
      <w:t xml:space="preserve">Strona </w:t>
    </w:r>
    <w:r>
      <w:rPr>
        <w:b/>
        <w:color w:val="000000"/>
        <w:sz w:val="20"/>
        <w:szCs w:val="20"/>
      </w:rPr>
      <w:fldChar w:fldCharType="begin"/>
    </w:r>
    <w:r>
      <w:rPr>
        <w:b/>
        <w:color w:val="000000"/>
        <w:sz w:val="20"/>
        <w:szCs w:val="20"/>
      </w:rPr>
      <w:instrText>PAGE</w:instrText>
    </w:r>
    <w:r w:rsidR="007174D9">
      <w:rPr>
        <w:b/>
        <w:color w:val="000000"/>
        <w:sz w:val="20"/>
        <w:szCs w:val="20"/>
      </w:rPr>
      <w:fldChar w:fldCharType="separate"/>
    </w:r>
    <w:r w:rsidR="007174D9">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sidR="007174D9">
      <w:rPr>
        <w:b/>
        <w:color w:val="000000"/>
        <w:sz w:val="20"/>
        <w:szCs w:val="20"/>
      </w:rPr>
      <w:fldChar w:fldCharType="separate"/>
    </w:r>
    <w:r w:rsidR="007174D9">
      <w:rPr>
        <w:b/>
        <w:noProof/>
        <w:color w:val="000000"/>
        <w:sz w:val="20"/>
        <w:szCs w:val="20"/>
      </w:rPr>
      <w:t>2</w:t>
    </w:r>
    <w:r>
      <w:rPr>
        <w:b/>
        <w:color w:val="000000"/>
        <w:sz w:val="20"/>
        <w:szCs w:val="20"/>
      </w:rPr>
      <w:fldChar w:fldCharType="end"/>
    </w:r>
  </w:p>
  <w:p w14:paraId="4F78C1CE" w14:textId="77777777" w:rsidR="00CB33E1" w:rsidRDefault="00CB33E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53B06"/>
    <w:multiLevelType w:val="multilevel"/>
    <w:tmpl w:val="26B8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D3F08"/>
    <w:multiLevelType w:val="multilevel"/>
    <w:tmpl w:val="92CAC74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E26831"/>
    <w:multiLevelType w:val="multilevel"/>
    <w:tmpl w:val="EE467E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E1"/>
    <w:rsid w:val="007174D9"/>
    <w:rsid w:val="00CB33E1"/>
    <w:rsid w:val="00DF2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68E6"/>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2"/>
    <w:tblPr>
      <w:tblStyleRowBandSize w:val="1"/>
      <w:tblStyleColBandSize w:val="1"/>
      <w:tblCellMar>
        <w:top w:w="28" w:type="dxa"/>
        <w:left w:w="28" w:type="dxa"/>
        <w:bottom w:w="28" w:type="dxa"/>
        <w:right w:w="28" w:type="dxa"/>
      </w:tblCellMar>
    </w:tblPr>
  </w:style>
  <w:style w:type="table" w:customStyle="1" w:styleId="1">
    <w:name w:val="1"/>
    <w:basedOn w:val="TableNormal2"/>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2"/>
    <w:tblPr>
      <w:tblStyleRowBandSize w:val="1"/>
      <w:tblStyleColBandSize w:val="1"/>
      <w:tblCellMar>
        <w:left w:w="10" w:type="dxa"/>
        <w:right w:w="10" w:type="dxa"/>
      </w:tblCellMar>
    </w:tblPr>
  </w:style>
  <w:style w:type="table" w:customStyle="1" w:styleId="a0">
    <w:basedOn w:val="TableNormal2"/>
    <w:tblPr>
      <w:tblStyleRowBandSize w:val="1"/>
      <w:tblStyleColBandSize w:val="1"/>
      <w:tblCellMar>
        <w:top w:w="28" w:type="dxa"/>
        <w:left w:w="70" w:type="dxa"/>
        <w:bottom w:w="28" w:type="dxa"/>
        <w:right w:w="70" w:type="dxa"/>
      </w:tblCellMar>
    </w:tblPr>
  </w:style>
  <w:style w:type="table" w:customStyle="1" w:styleId="a1">
    <w:basedOn w:val="TableNormal1"/>
    <w:tblPr>
      <w:tblStyleRowBandSize w:val="1"/>
      <w:tblStyleColBandSize w:val="1"/>
      <w:tblCellMar>
        <w:top w:w="28" w:type="dxa"/>
        <w:left w:w="70" w:type="dxa"/>
        <w:bottom w:w="28" w:type="dxa"/>
        <w:right w:w="70" w:type="dxa"/>
      </w:tblCellMar>
    </w:tblPr>
  </w:style>
  <w:style w:type="table" w:customStyle="1" w:styleId="a2">
    <w:basedOn w:val="TableNormal1"/>
    <w:tblPr>
      <w:tblStyleRowBandSize w:val="1"/>
      <w:tblStyleColBandSize w:val="1"/>
      <w:tblCellMar>
        <w:top w:w="28" w:type="dxa"/>
        <w:left w:w="70" w:type="dxa"/>
        <w:bottom w:w="28" w:type="dxa"/>
        <w:right w:w="70" w:type="dxa"/>
      </w:tblCellMar>
    </w:tblPr>
  </w:style>
  <w:style w:type="paragraph" w:styleId="NormalnyWeb">
    <w:name w:val="Normal (Web)"/>
    <w:basedOn w:val="Normalny"/>
    <w:uiPriority w:val="99"/>
    <w:semiHidden/>
    <w:unhideWhenUsed/>
    <w:rsid w:val="00A2101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0"/>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d6uc38cuJO+O9dKPmXoEfBy5Q==">AMUW2mU+nEszprscRXn8XlbXeQMHBhn2GkWkB+fl7vaAXUsvuK3mWYnWnHVA5L/3bbXQOwcLHXoxuadk3xcQ+4pcHqr0cbPDFCYltdAnBcSBgMHcMwUVldCr00K4iClX78BJCl30Gk1We/z1N15QLZKauBFIOLkUl+NMeGTyHaKZUKroDIyDcEzQKIu6k794zYik0r9BXCnnn/kx2ZBEBH5EI1uZDFYn8g==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1459</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2</cp:revision>
  <dcterms:created xsi:type="dcterms:W3CDTF">2021-01-28T11:13:00Z</dcterms:created>
  <dcterms:modified xsi:type="dcterms:W3CDTF">2021-02-26T14:41:00Z</dcterms:modified>
</cp:coreProperties>
</file>