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2">
      <w:pPr>
        <w:spacing w:after="0" w:before="100" w:line="360" w:lineRule="auto"/>
        <w:jc w:val="center"/>
        <w:rPr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P</w:t>
      </w:r>
      <w:r w:rsidDel="00000000" w:rsidR="00000000" w:rsidRPr="00000000">
        <w:rPr>
          <w:rtl w:val="0"/>
        </w:rPr>
        <w:t xml:space="preserve">rzedmiotem zamówienia jest dostawa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systemu do automatycznego wymywania warstw metalicznych i półprzewodnikowych</w:t>
      </w:r>
      <w:r w:rsidDel="00000000" w:rsidR="00000000" w:rsidRPr="00000000">
        <w:rPr>
          <w:color w:val="000000"/>
          <w:rtl w:val="0"/>
        </w:rPr>
        <w:t xml:space="preserve"> do siedziby </w:t>
      </w:r>
      <w:r w:rsidDel="00000000" w:rsidR="00000000" w:rsidRPr="00000000">
        <w:rPr>
          <w:highlight w:val="white"/>
          <w:rtl w:val="0"/>
        </w:rPr>
        <w:t xml:space="preserve">Zamawiającego zgodnego ze specyfikacją zawartą w punkcie 5. oraz szkolenie pracowników </w:t>
      </w:r>
      <w:r w:rsidDel="00000000" w:rsidR="00000000" w:rsidRPr="00000000">
        <w:rPr>
          <w:rtl w:val="0"/>
        </w:rPr>
        <w:t xml:space="preserve">zgodnie z listą kompletacji zawartą w punkcie 2.2.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udzieli gwarancji i zapewni serwis: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Gwarancja będzie udzielona na okres: minimum 24 miesięcy od daty doręczenia potwierdzonej protokołem odbioru;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Wykonawca zapewni bezpłatny serwis przez okres trwania gwarancji, czas przystąpienia do naprawy nastąpi w ciągu 3 dni roboczych od momentu zgłoszenia wady;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Wykonawca zapewnia płatny serwis pogwarancyjny przez </w:t>
      </w:r>
      <w:r w:rsidDel="00000000" w:rsidR="00000000" w:rsidRPr="00000000">
        <w:rPr>
          <w:rtl w:val="0"/>
        </w:rPr>
        <w:t xml:space="preserve">7 lat od momentu upływu terminu gwarancji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Wykonawca zapewni dostęp do części zamiennych i akcesoriów do systemu w ciągu całego cyklu życia produktu oraz przez okres co najmniej 7 lat od </w:t>
      </w:r>
      <w:r w:rsidDel="00000000" w:rsidR="00000000" w:rsidRPr="00000000">
        <w:rPr>
          <w:rtl w:val="0"/>
        </w:rPr>
        <w:t xml:space="preserve">dnia dostarczenia przedmiotu zamówienia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color w:val="000000"/>
          <w:highlight w:val="white"/>
          <w:rtl w:val="0"/>
        </w:rPr>
        <w:t xml:space="preserve">Wykonawca zapewni niezbędne akcesoria i części zamienne do naprawy usterki w czasie nie dłuższym niż 5 dni roboczych od momentu wizyty konsultanta i stwierdzeniu usterki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color w:val="000000"/>
          <w:highlight w:val="white"/>
          <w:rtl w:val="0"/>
        </w:rPr>
        <w:t xml:space="preserve">Wykonawca zapewni </w:t>
      </w:r>
      <w:r w:rsidDel="00000000" w:rsidR="00000000" w:rsidRPr="00000000">
        <w:rPr>
          <w:color w:val="000000"/>
          <w:rtl w:val="0"/>
        </w:rPr>
        <w:t xml:space="preserve">na przestrzeni czasu swojej działalności </w:t>
      </w:r>
      <w:r w:rsidDel="00000000" w:rsidR="00000000" w:rsidRPr="00000000">
        <w:rPr>
          <w:color w:val="000000"/>
          <w:highlight w:val="white"/>
          <w:rtl w:val="0"/>
        </w:rPr>
        <w:t xml:space="preserve">wsparcie poprzez kontakt telefoniczny i pocztę elektroniczną </w:t>
      </w:r>
      <w:r w:rsidDel="00000000" w:rsidR="00000000" w:rsidRPr="00000000">
        <w:rPr>
          <w:color w:val="000000"/>
          <w:rtl w:val="0"/>
        </w:rPr>
        <w:t xml:space="preserve">w czasie krótszym niż 48 godziny w dni robocze;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color w:val="000000"/>
          <w:highlight w:val="white"/>
          <w:rtl w:val="0"/>
        </w:rPr>
        <w:t xml:space="preserve">Wykonawca zapewni </w:t>
      </w:r>
      <w:r w:rsidDel="00000000" w:rsidR="00000000" w:rsidRPr="00000000">
        <w:rPr>
          <w:color w:val="000000"/>
          <w:rtl w:val="0"/>
        </w:rPr>
        <w:t xml:space="preserve">wsparcie </w:t>
      </w:r>
      <w:r w:rsidDel="00000000" w:rsidR="00000000" w:rsidRPr="00000000">
        <w:rPr>
          <w:color w:val="000000"/>
          <w:highlight w:val="white"/>
          <w:rtl w:val="0"/>
        </w:rPr>
        <w:t xml:space="preserve">techniczne obejmujące bezpłatne aktualizacje i możliwości rozbudowy urządzenia </w:t>
      </w:r>
      <w:r w:rsidDel="00000000" w:rsidR="00000000" w:rsidRPr="00000000">
        <w:rPr>
          <w:color w:val="000000"/>
          <w:rtl w:val="0"/>
        </w:rPr>
        <w:t xml:space="preserve">przez cykl życia produktu;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highlight w:val="white"/>
          <w:rtl w:val="0"/>
        </w:rPr>
        <w:t xml:space="preserve">Wykonawca zapewni czas reakcji i dojazdu serwisanta do klienta w ciągu maksymalnie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 dni roboczych </w:t>
      </w:r>
      <w:r w:rsidDel="00000000" w:rsidR="00000000" w:rsidRPr="00000000">
        <w:rPr>
          <w:color w:val="000000"/>
          <w:highlight w:val="white"/>
          <w:rtl w:val="0"/>
        </w:rPr>
        <w:t xml:space="preserve">od zgłoszenia także po ustaniu okresu gwarancyjnego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color w:val="000000"/>
          <w:highlight w:val="white"/>
          <w:rtl w:val="0"/>
        </w:rPr>
        <w:t xml:space="preserve">Wykonawca zapewni możliwość szkolenia z obsługi systemu w okresie trwania i po ustaniu gwarancji oraz przez cały cykl życia produktu</w:t>
      </w:r>
      <w:r w:rsidDel="00000000" w:rsidR="00000000" w:rsidRPr="00000000">
        <w:rPr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Dodatkowo Wykonawca spełni następujące wymagania: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Wykonawca zapewni szkolenie w siedzibie Wykonawcy w celu demonstracji systemu, prezentacji procesów oraz nauczenia obsługi systemu zgodnie z punktem 2 specyfikacji zawartej w sekcji 2;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Wykonawca zapewni zgodność z deklaracją CE.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skład przedmiotu zamówienia wchodzi: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System automatycznego czyszczenia wraz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Podwójną dyszą z dyszą wysokociśnieniową i rozpylającą,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Zmienną prędkością dyszy podwójnej,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Zmiennym ciśnieniem czyszczenia,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Funkcją płukania,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Graficznym interfejsem użytkownika,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Programowalnymi recepturami;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Szkolenie co najmniej dwóch operatorów zawierające: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Podstawowe działanie systemu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Cechy bezpieczeństwa systemu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Tworzenie receptur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Konserwacja systemu.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 oceny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</w:p>
    <w:tbl>
      <w:tblPr>
        <w:tblStyle w:val="Table1"/>
        <w:tblW w:w="9836.0" w:type="dxa"/>
        <w:jc w:val="left"/>
        <w:tblInd w:w="0.0" w:type="dxa"/>
        <w:tblLayout w:type="fixed"/>
        <w:tblLook w:val="0000"/>
      </w:tblPr>
      <w:tblGrid>
        <w:gridCol w:w="4780"/>
        <w:gridCol w:w="2528"/>
        <w:gridCol w:w="2528"/>
        <w:tblGridChange w:id="0">
          <w:tblGrid>
            <w:gridCol w:w="4780"/>
            <w:gridCol w:w="2528"/>
            <w:gridCol w:w="25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Maksymalna liczba punktów 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Metoda przyznawania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Czas trwania okresu gwarancyjnego (W)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Wi/Wmax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Gdzie: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Pi,  Wi, to odpowiednio cena, dokładność docierania, okres gwarancji urządzenia,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120" w:line="240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Pmin, Wmax, to odpowiednio minimalna cena urządzenia spośród wszystkich ofert, maksymalny okres gwarancji urządzenia spośród wszystkich ofert.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Wynik końcowy zostanie obliczony przez zsumowanie składników częściowych, a następnie zaokrąglenie do dwóch miejsc po przecinku.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  <w:t xml:space="preserve">Do 26 tygodni od momentu złożenia zamówienia.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</w:t>
      </w:r>
    </w:p>
    <w:tbl>
      <w:tblPr>
        <w:tblStyle w:val="Table2"/>
        <w:tblW w:w="11042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1701"/>
        <w:gridCol w:w="1985"/>
        <w:gridCol w:w="6930"/>
        <w:tblGridChange w:id="0">
          <w:tblGrid>
            <w:gridCol w:w="426"/>
            <w:gridCol w:w="1701"/>
            <w:gridCol w:w="1985"/>
            <w:gridCol w:w="6930"/>
          </w:tblGrid>
        </w:tblGridChange>
      </w:tblGrid>
      <w:tr>
        <w:trPr>
          <w:trHeight w:val="240" w:hRule="atLeast"/>
        </w:trPr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Podzespół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Parametr/Funkcja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System automatycznego czyszczenia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Porowaty stół obrotowy do ramek 6"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Stół obrotowy z regulowaną prędkością obrotową z minimalną prędkością obrotową co najmniej 100 obr/min lub mniejszą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Regulacja prędkości dyszy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Zmienna, programowalna prędkość czyszczenia dyszą, co najmniej do 37°/s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Pompa wysokociśnieniowa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Wysokociśnieniowa pompa wodna o regulowanym ciśnieniu do co najmniej 100 barów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Wewnętrzna jednostka kanałowo-wentylatorowa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Wewnętrzny zespół wentylatora do wymuszonego wydmuchu mgły wodnej z urządzenia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Funkcja płukania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Funkcja trybu płukania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Podwójna dysza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Podwójna dysza do jednoczesnego stosowania dysz wysokociśnieniowych i rozpylających w jednej recepturze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Dysza wysokociśnieniowa dla dyszy podwójnej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Dysza wysokociśnieniowa odpowiednia dla dyszy podwójnej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Dysza rozpylająca dla dyszy podwójnej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Dysza rozpylająca o większej zdolności czyszczącej odpowiednia dla dyszy podwójnej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Możliwość rozbudowy do czyszczenia mechanicznego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Możliwość modernizacji systemu do mechanicznego czyszczenia gąbkowego</w:t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Adapter do ramek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Adapter do ramek 6" i 8".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System kontrolny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Oprogramowanie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Graficzny interfejs użytkownika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Programowalne receptury czyszczenia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Import/eksport danych przez USB w celu wykonania kopii zapasowej programu i konfiguracji na zewnętrznym komputerze PC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Kod według Wspólnego Słownika Zamówień (CPV)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42924720-02 – Urządzenia do usuwania zanieczyszczeń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Informacje dodatkowe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Dostarczone elementy mają być nowe, nieużywane. Opakowanie systemu ma zapewnić bezpieczeństwo urządzenia i elementów systemu w czasie transportu jak i składowania.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 a Zamawiającym.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10137.0" w:type="dxa"/>
      <w:jc w:val="left"/>
      <w:tblInd w:w="-78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462"/>
      <w:gridCol w:w="2056"/>
      <w:gridCol w:w="3619"/>
      <w:tblGridChange w:id="0">
        <w:tblGrid>
          <w:gridCol w:w="4462"/>
          <w:gridCol w:w="2056"/>
          <w:gridCol w:w="3619"/>
        </w:tblGrid>
      </w:tblGridChange>
    </w:tblGrid>
    <w:tr>
      <w:trPr>
        <w:trHeight w:val="8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D">
          <w:pPr>
            <w:spacing w:after="120" w:lineRule="auto"/>
            <w:ind w:left="563" w:firstLine="142.00000000000003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0" distT="0" distL="0" distR="0">
                <wp:extent cx="1104900" cy="590550"/>
                <wp:effectExtent b="0" l="0" r="0" t="0"/>
                <wp:docPr descr="Logo POIR" id="5" name="image2.jpg"/>
                <a:graphic>
                  <a:graphicData uri="http://schemas.openxmlformats.org/drawingml/2006/picture">
                    <pic:pic>
                      <pic:nvPicPr>
                        <pic:cNvPr descr="Logo POI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E">
          <w:pPr>
            <w:spacing w:after="120" w:lineRule="auto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F">
          <w:pPr>
            <w:spacing w:after="120" w:lineRule="auto"/>
            <w:jc w:val="right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0" distT="0" distL="0" distR="0">
                <wp:extent cx="1638300" cy="561975"/>
                <wp:effectExtent b="0" l="0" r="0" t="0"/>
                <wp:docPr descr="UE EFRR_pol" id="6" name="image1.jpg"/>
                <a:graphic>
                  <a:graphicData uri="http://schemas.openxmlformats.org/drawingml/2006/picture">
                    <pic:pic>
                      <pic:nvPicPr>
                        <pic:cNvPr descr="UE EFRR_pol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Default" w:customStyle="1">
    <w:name w:val="Default"/>
    <w:rsid w:val="002459FE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 w:val="1"/>
    <w:rsid w:val="007C0C6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9533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53332"/>
  </w:style>
  <w:style w:type="paragraph" w:styleId="Stopka">
    <w:name w:val="footer"/>
    <w:basedOn w:val="Normalny"/>
    <w:link w:val="StopkaZnak"/>
    <w:uiPriority w:val="99"/>
    <w:unhideWhenUsed w:val="1"/>
    <w:rsid w:val="0095333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53332"/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Pc1En3RYFCckl0d5jU1ydaDAQ==">AMUW2mV7rXbiHAiI21+ksGlhzm7DrhzZ7kKfqvU00ueWhFX9vlYXqemCIksOoCJUVZejmK/lDE15mq2GEEw9ZA80nqbrhDV537X0+CKmldX2m/XIAs+rsybfxEbXgguxEDplIbYVDoXvxvvys8SQ5H8s5YHK+hD+wiqQukwtmbW645vfZ5lgCk5RWoBEsO+4MTBsFVwTKpDanGyOhm8A56i1G2BVJlVoMQ==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2020-09-02T08:20:00Z</dcterms:created>
  <dc:creator>Artur Trajnerowicz</dc:creator>
</cp:coreProperties>
</file>