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gjdgxs" w:id="0"/>
      <w:bookmarkEnd w:id="0"/>
      <w:r w:rsidDel="00000000" w:rsidR="00000000" w:rsidRPr="00000000">
        <w:rPr>
          <w:b w:val="1"/>
          <w:rtl w:val="0"/>
        </w:rPr>
        <w:t xml:space="preserve">ORDER DESCRIPTION</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contract is a thermoelectric cooler in the amount of</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tl w:val="0"/>
        </w:rPr>
        <w:t xml:space="preserve">Metalized thermoelectric cooler 4TE on TO8 header - 12 pin - 4MD04-116-1</w:t>
        <w:tab/>
        <w:tab/>
        <w:t xml:space="preserve">40 pcs </w:t>
      </w:r>
    </w:p>
    <w:p w:rsidR="00000000" w:rsidDel="00000000" w:rsidP="00000000" w:rsidRDefault="00000000" w:rsidRPr="00000000" w14:paraId="00000005">
      <w:pPr>
        <w:spacing w:after="0" w:line="240" w:lineRule="auto"/>
        <w:ind w:left="720" w:firstLine="0"/>
        <w:jc w:val="both"/>
        <w:rPr/>
      </w:pPr>
      <w:r w:rsidDel="00000000" w:rsidR="00000000" w:rsidRPr="00000000">
        <w:rPr>
          <w:rtl w:val="0"/>
        </w:rPr>
      </w:r>
    </w:p>
    <w:p w:rsidR="00000000" w:rsidDel="00000000" w:rsidP="00000000" w:rsidRDefault="00000000" w:rsidRPr="00000000" w14:paraId="00000006">
      <w:pPr>
        <w:spacing w:after="0" w:line="240" w:lineRule="auto"/>
        <w:rPr>
          <w:b w:val="1"/>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A detailed description of the subject of the contract is provided in section 5 of this document. </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Criterion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360" w:firstLine="0"/>
        <w:rPr>
          <w:b w:val="1"/>
          <w:color w:val="000000"/>
          <w:u w:val="single"/>
        </w:rPr>
      </w:pPr>
      <w:r w:rsidDel="00000000" w:rsidR="00000000" w:rsidRPr="00000000">
        <w:rPr>
          <w:color w:val="000000"/>
          <w:rtl w:val="0"/>
        </w:rPr>
        <w:t xml:space="preserve">Offers will be evaluated according to a point scale with a maximum number of points of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E">
            <w:pPr>
              <w:widowControl w:val="0"/>
              <w:spacing w:after="0" w:line="240" w:lineRule="auto"/>
              <w:jc w:val="cente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Method of awarding points</w:t>
            </w:r>
          </w:p>
        </w:tc>
      </w:tr>
      <w:t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widowControl w:val="0"/>
              <w:spacing w:after="0" w:line="240" w:lineRule="auto"/>
              <w:rPr/>
            </w:pPr>
            <w:r w:rsidDel="00000000" w:rsidR="00000000" w:rsidRPr="00000000">
              <w:rPr>
                <w:rtl w:val="0"/>
              </w:rPr>
              <w:t xml:space="preserve">Net 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Where:</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Pi – net price of goods - for the given offer</w:t>
      </w:r>
    </w:p>
    <w:p w:rsidR="00000000" w:rsidDel="00000000" w:rsidP="00000000" w:rsidRDefault="00000000" w:rsidRPr="00000000" w14:paraId="00000016">
      <w:pPr>
        <w:numPr>
          <w:ilvl w:val="0"/>
          <w:numId w:val="3"/>
        </w:numPr>
        <w:spacing w:after="0" w:line="240" w:lineRule="auto"/>
        <w:ind w:left="720" w:hanging="360"/>
        <w:jc w:val="both"/>
        <w:rPr/>
      </w:pPr>
      <w:r w:rsidDel="00000000" w:rsidR="00000000" w:rsidRPr="00000000">
        <w:rPr>
          <w:rtl w:val="0"/>
        </w:rPr>
        <w:t xml:space="preserve">Pmin - the minimum delivery net price for the ordered goods from all offers submitted</w:t>
      </w:r>
    </w:p>
    <w:p w:rsidR="00000000" w:rsidDel="00000000" w:rsidP="00000000" w:rsidRDefault="00000000" w:rsidRPr="00000000" w14:paraId="00000017">
      <w:pPr>
        <w:numPr>
          <w:ilvl w:val="0"/>
          <w:numId w:val="3"/>
        </w:numPr>
        <w:spacing w:after="0" w:line="240" w:lineRule="auto"/>
        <w:ind w:left="720" w:hanging="360"/>
        <w:jc w:val="both"/>
        <w:rPr/>
      </w:pPr>
      <w:r w:rsidDel="00000000" w:rsidR="00000000" w:rsidRPr="00000000">
        <w:rPr>
          <w:rtl w:val="0"/>
        </w:rPr>
        <w:t xml:space="preserve">S – number of points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rPr>
          <w:b w:val="1"/>
          <w:color w:val="000000"/>
          <w:u w:val="single"/>
        </w:rPr>
      </w:pPr>
      <w:bookmarkStart w:colFirst="0" w:colLast="0" w:name="_heading=h.30j0zll" w:id="1"/>
      <w:bookmarkEnd w:id="1"/>
      <w:r w:rsidDel="00000000" w:rsidR="00000000" w:rsidRPr="00000000">
        <w:rPr>
          <w:rtl w:val="0"/>
        </w:rPr>
        <w:t xml:space="preserve">The final score will be calculated by adding up the partial components and then rounded to two decimal places (rounded from "5" up).</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Deadline for completing the order</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360" w:lineRule="auto"/>
        <w:ind w:left="360" w:firstLine="0"/>
        <w:rPr>
          <w:b w:val="1"/>
          <w:color w:val="000000"/>
        </w:rPr>
      </w:pPr>
      <w:r w:rsidDel="00000000" w:rsidR="00000000" w:rsidRPr="00000000">
        <w:rPr>
          <w:b w:val="1"/>
          <w:rtl w:val="0"/>
        </w:rPr>
        <w:t xml:space="preserve">As soon as possible, no later than 14 weeks from the date of placing the order.</w:t>
      </w:r>
      <w:r w:rsidDel="00000000" w:rsidR="00000000" w:rsidRPr="00000000">
        <w:rPr>
          <w:rtl w:val="0"/>
        </w:rPr>
        <w:t xml:space="preserve"> </w:t>
      </w:r>
      <w:r w:rsidDel="00000000" w:rsidR="00000000" w:rsidRPr="00000000">
        <w:rPr>
          <w:b w:val="1"/>
          <w:rtl w:val="0"/>
        </w:rPr>
        <w:t xml:space="preserve">The ordering party requires the application of the FCA Incoterms 2020 delivery principle. FCA (free carrier), i.e. the moment of delivery of the goods is considered to be at the disposal of the courier or other designated person through buyer in the area indicated by the supplier.</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Parameters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Detailed scope of the subject</w:t>
      </w:r>
    </w:p>
    <w:tbl>
      <w:tblPr>
        <w:tblStyle w:val="Table2"/>
        <w:tblW w:w="990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1890"/>
        <w:gridCol w:w="2130"/>
        <w:gridCol w:w="4245"/>
        <w:tblGridChange w:id="0">
          <w:tblGrid>
            <w:gridCol w:w="1635"/>
            <w:gridCol w:w="1890"/>
            <w:gridCol w:w="2130"/>
            <w:gridCol w:w="4245"/>
          </w:tblGrid>
        </w:tblGridChange>
      </w:tblGrid>
      <w:tr>
        <w:trPr>
          <w:trHeight w:val="960.3274972098212" w:hRule="atLeast"/>
        </w:trPr>
        <w:tc>
          <w:tcPr>
            <w:gridSpan w:val="2"/>
            <w:shd w:fill="dddddd" w:val="cle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Parametrer</w:t>
            </w:r>
          </w:p>
        </w:tc>
        <w:tc>
          <w:tcPr>
            <w:shd w:fill="dddddd" w:val="cle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Specification</w:t>
            </w:r>
          </w:p>
        </w:tc>
      </w:tr>
      <w:tr>
        <w:trPr>
          <w:trHeight w:val="960.3274972098212" w:hRule="atLeast"/>
        </w:trPr>
        <w:tc>
          <w:tcPr>
            <w:vMerge w:val="restart"/>
            <w:vAlign w:val="center"/>
          </w:tcPr>
          <w:p w:rsidR="00000000" w:rsidDel="00000000" w:rsidP="00000000" w:rsidRDefault="00000000" w:rsidRPr="00000000" w14:paraId="00000021">
            <w:pPr>
              <w:spacing w:after="0" w:line="240" w:lineRule="auto"/>
              <w:ind w:hanging="2"/>
              <w:jc w:val="both"/>
              <w:rPr/>
            </w:pPr>
            <w:r w:rsidDel="00000000" w:rsidR="00000000" w:rsidRPr="00000000">
              <w:rPr>
                <w:rtl w:val="0"/>
              </w:rPr>
              <w:t xml:space="preserve">Metalized thermoelectric cooler 4TE on TO8 header - 12 pin - 4MD04-116-1</w:t>
            </w:r>
          </w:p>
        </w:tc>
        <w:tc>
          <w:tcPr>
            <w:vMerge w:val="restart"/>
            <w:tcMar>
              <w:top w:w="55.0" w:type="dxa"/>
              <w:left w:w="55.0" w:type="dxa"/>
              <w:bottom w:w="55.0" w:type="dxa"/>
              <w:right w:w="55.0" w:type="dxa"/>
            </w:tcMar>
            <w:vAlign w:val="center"/>
          </w:tcPr>
          <w:p w:rsidR="00000000" w:rsidDel="00000000" w:rsidP="00000000" w:rsidRDefault="00000000" w:rsidRPr="00000000" w14:paraId="00000022">
            <w:pPr>
              <w:widowControl w:val="0"/>
              <w:spacing w:after="0" w:line="240" w:lineRule="auto"/>
              <w:ind w:hanging="2"/>
              <w:rPr/>
            </w:pPr>
            <w:r w:rsidDel="00000000" w:rsidR="00000000" w:rsidRPr="00000000">
              <w:rPr>
                <w:rtl w:val="0"/>
              </w:rPr>
              <w:t xml:space="preserve">Cooler Parameters @ 300K vacuum</w:t>
            </w:r>
          </w:p>
        </w:tc>
        <w:tc>
          <w:tcPr>
            <w:tcMar>
              <w:top w:w="55.0" w:type="dxa"/>
              <w:left w:w="55.0" w:type="dxa"/>
              <w:bottom w:w="55.0" w:type="dxa"/>
              <w:right w:w="55.0" w:type="dxa"/>
            </w:tcMar>
          </w:tcPr>
          <w:p w:rsidR="00000000" w:rsidDel="00000000" w:rsidP="00000000" w:rsidRDefault="00000000" w:rsidRPr="00000000" w14:paraId="00000023">
            <w:pPr>
              <w:spacing w:after="0" w:line="240" w:lineRule="auto"/>
              <w:ind w:hanging="2"/>
              <w:rPr/>
            </w:pPr>
            <w:r w:rsidDel="00000000" w:rsidR="00000000" w:rsidRPr="00000000">
              <w:rPr>
                <w:rtl w:val="0"/>
              </w:rPr>
              <w:t xml:space="preserve">Material of the ceramics</w:t>
            </w:r>
          </w:p>
        </w:tc>
        <w:tc>
          <w:tcPr/>
          <w:p w:rsidR="00000000" w:rsidDel="00000000" w:rsidP="00000000" w:rsidRDefault="00000000" w:rsidRPr="00000000" w14:paraId="00000024">
            <w:pPr>
              <w:spacing w:after="0" w:line="240" w:lineRule="auto"/>
              <w:ind w:hanging="2"/>
              <w:rPr/>
            </w:pPr>
            <w:r w:rsidDel="00000000" w:rsidR="00000000" w:rsidRPr="00000000">
              <w:rPr>
                <w:rtl w:val="0"/>
              </w:rPr>
              <w:t xml:space="preserve">Al2O3</w:t>
            </w:r>
          </w:p>
        </w:tc>
      </w:tr>
      <w:tr>
        <w:trPr>
          <w:trHeight w:val="960.3274972098212" w:hRule="atLeast"/>
        </w:trPr>
        <w:tc>
          <w:tcPr>
            <w:vMerge w:val="continue"/>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7">
            <w:pPr>
              <w:spacing w:after="0" w:line="240" w:lineRule="auto"/>
              <w:ind w:hanging="2"/>
              <w:rPr/>
            </w:pPr>
            <w:r w:rsidDel="00000000" w:rsidR="00000000" w:rsidRPr="00000000">
              <w:rPr>
                <w:rtl w:val="0"/>
              </w:rPr>
              <w:t xml:space="preserve">Top ceramics (ceramic no 1)</w:t>
            </w:r>
          </w:p>
        </w:tc>
        <w:tc>
          <w:tcPr/>
          <w:p w:rsidR="00000000" w:rsidDel="00000000" w:rsidP="00000000" w:rsidRDefault="00000000" w:rsidRPr="00000000" w14:paraId="00000028">
            <w:pPr>
              <w:spacing w:after="0" w:line="240" w:lineRule="auto"/>
              <w:ind w:hanging="2"/>
              <w:rPr/>
            </w:pPr>
            <w:r w:rsidDel="00000000" w:rsidR="00000000" w:rsidRPr="00000000">
              <w:rPr>
                <w:rtl w:val="0"/>
              </w:rPr>
              <w:t xml:space="preserve">Blank - no metalization applied to the outer surface of ceramics</w:t>
            </w:r>
          </w:p>
        </w:tc>
      </w:tr>
      <w:tr>
        <w:trPr>
          <w:trHeight w:val="960.3274972098212" w:hRule="atLeast"/>
        </w:trPr>
        <w:tc>
          <w:tcPr>
            <w:vMerge w:val="continue"/>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B">
            <w:pPr>
              <w:spacing w:after="0" w:line="240" w:lineRule="auto"/>
              <w:ind w:hanging="2"/>
              <w:rPr/>
            </w:pPr>
            <w:r w:rsidDel="00000000" w:rsidR="00000000" w:rsidRPr="00000000">
              <w:rPr>
                <w:rtl w:val="0"/>
              </w:rPr>
              <w:t xml:space="preserve">Top intermediate ceramics (ceramic no 2)</w:t>
            </w:r>
          </w:p>
        </w:tc>
        <w:tc>
          <w:tcPr/>
          <w:p w:rsidR="00000000" w:rsidDel="00000000" w:rsidP="00000000" w:rsidRDefault="00000000" w:rsidRPr="00000000" w14:paraId="0000002C">
            <w:pPr>
              <w:spacing w:after="0" w:line="240" w:lineRule="auto"/>
              <w:ind w:hanging="2"/>
              <w:rPr/>
            </w:pPr>
            <w:r w:rsidDel="00000000" w:rsidR="00000000" w:rsidRPr="00000000">
              <w:rPr>
                <w:rtl w:val="0"/>
              </w:rPr>
              <w:t xml:space="preserve">Blank - no metalization applied to the outer surface of ceramics</w:t>
            </w:r>
          </w:p>
        </w:tc>
      </w:tr>
      <w:tr>
        <w:trPr>
          <w:trHeight w:val="960.3274972098212" w:hRule="atLeast"/>
        </w:trP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F">
            <w:pPr>
              <w:spacing w:after="0" w:line="240" w:lineRule="auto"/>
              <w:ind w:hanging="2"/>
              <w:rPr/>
            </w:pPr>
            <w:r w:rsidDel="00000000" w:rsidR="00000000" w:rsidRPr="00000000">
              <w:rPr>
                <w:rtl w:val="0"/>
              </w:rPr>
              <w:t xml:space="preserve">Middle intermediate ceramics (ceramic no 3)</w:t>
            </w:r>
          </w:p>
        </w:tc>
        <w:tc>
          <w:tcPr/>
          <w:p w:rsidR="00000000" w:rsidDel="00000000" w:rsidP="00000000" w:rsidRDefault="00000000" w:rsidRPr="00000000" w14:paraId="00000030">
            <w:pPr>
              <w:spacing w:after="0" w:line="240" w:lineRule="auto"/>
              <w:ind w:hanging="2"/>
              <w:rPr/>
            </w:pPr>
            <w:r w:rsidDel="00000000" w:rsidR="00000000" w:rsidRPr="00000000">
              <w:rPr>
                <w:rtl w:val="0"/>
              </w:rPr>
              <w:t xml:space="preserve">Metallization Au applied to the outer surface of ceramics according to the attached drawing</w:t>
            </w:r>
          </w:p>
        </w:tc>
      </w:tr>
      <w:tr>
        <w:trPr>
          <w:trHeight w:val="960.3274972098212" w:hRule="atLeast"/>
        </w:trPr>
        <w:tc>
          <w:tcPr>
            <w:vMerge w:val="continue"/>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3">
            <w:pPr>
              <w:spacing w:after="0" w:line="240" w:lineRule="auto"/>
              <w:ind w:hanging="2"/>
              <w:rPr/>
            </w:pPr>
            <w:r w:rsidDel="00000000" w:rsidR="00000000" w:rsidRPr="00000000">
              <w:rPr>
                <w:rtl w:val="0"/>
              </w:rPr>
              <w:t xml:space="preserve">Bottom  intermediate Ceramics (ceramic no 4)</w:t>
            </w:r>
          </w:p>
        </w:tc>
        <w:tc>
          <w:tcPr/>
          <w:p w:rsidR="00000000" w:rsidDel="00000000" w:rsidP="00000000" w:rsidRDefault="00000000" w:rsidRPr="00000000" w14:paraId="00000034">
            <w:pPr>
              <w:spacing w:after="0" w:line="240" w:lineRule="auto"/>
              <w:ind w:hanging="2"/>
              <w:rPr/>
            </w:pPr>
            <w:r w:rsidDel="00000000" w:rsidR="00000000" w:rsidRPr="00000000">
              <w:rPr>
                <w:rtl w:val="0"/>
              </w:rPr>
              <w:t xml:space="preserve">Metallization Au applied to the outer surface of ceramics according to the attached drawing</w:t>
            </w:r>
          </w:p>
        </w:tc>
      </w:tr>
      <w:tr>
        <w:trPr>
          <w:trHeight w:val="960.3274972098212" w:hRule="atLeast"/>
        </w:trPr>
        <w:tc>
          <w:tcPr>
            <w:vMerge w:val="continue"/>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7">
            <w:pPr>
              <w:spacing w:after="0" w:line="240" w:lineRule="auto"/>
              <w:ind w:hanging="2"/>
              <w:rPr/>
            </w:pPr>
            <w:r w:rsidDel="00000000" w:rsidR="00000000" w:rsidRPr="00000000">
              <w:rPr>
                <w:rtl w:val="0"/>
              </w:rPr>
              <w:t xml:space="preserve">TEC Assembling Solder</w:t>
            </w:r>
          </w:p>
        </w:tc>
        <w:tc>
          <w:tcPr/>
          <w:p w:rsidR="00000000" w:rsidDel="00000000" w:rsidP="00000000" w:rsidRDefault="00000000" w:rsidRPr="00000000" w14:paraId="00000038">
            <w:pPr>
              <w:spacing w:after="0" w:line="240" w:lineRule="auto"/>
              <w:ind w:hanging="2"/>
              <w:rPr/>
            </w:pPr>
            <w:r w:rsidDel="00000000" w:rsidR="00000000" w:rsidRPr="00000000">
              <w:rPr>
                <w:rtl w:val="0"/>
              </w:rPr>
              <w:t xml:space="preserve">Lead free RoHs </w:t>
            </w:r>
          </w:p>
          <w:p w:rsidR="00000000" w:rsidDel="00000000" w:rsidP="00000000" w:rsidRDefault="00000000" w:rsidRPr="00000000" w14:paraId="00000039">
            <w:pPr>
              <w:spacing w:after="0" w:line="240" w:lineRule="auto"/>
              <w:ind w:hanging="2"/>
              <w:rPr/>
            </w:pPr>
            <w:r w:rsidDel="00000000" w:rsidR="00000000" w:rsidRPr="00000000">
              <w:rPr>
                <w:rtl w:val="0"/>
              </w:rPr>
              <w:t xml:space="preserve">Tmelt not less than 230°C</w:t>
            </w:r>
          </w:p>
        </w:tc>
      </w:tr>
      <w:tr>
        <w:trPr>
          <w:trHeight w:val="960.3274972098212" w:hRule="atLeast"/>
        </w:trPr>
        <w:tc>
          <w:tcPr>
            <w:vMerge w:val="continue"/>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C">
            <w:pPr>
              <w:spacing w:after="0" w:line="240" w:lineRule="auto"/>
              <w:ind w:hanging="2"/>
              <w:rPr/>
            </w:pPr>
            <w:r w:rsidDel="00000000" w:rsidR="00000000" w:rsidRPr="00000000">
              <w:rPr>
                <w:rtl w:val="0"/>
              </w:rPr>
              <w:t xml:space="preserve">Terminal wires</w:t>
            </w:r>
          </w:p>
        </w:tc>
        <w:tc>
          <w:tcPr/>
          <w:p w:rsidR="00000000" w:rsidDel="00000000" w:rsidP="00000000" w:rsidRDefault="00000000" w:rsidRPr="00000000" w14:paraId="0000003D">
            <w:pPr>
              <w:spacing w:after="0" w:line="240" w:lineRule="auto"/>
              <w:ind w:hanging="2"/>
              <w:rPr/>
            </w:pPr>
            <w:r w:rsidDel="00000000" w:rsidR="00000000" w:rsidRPr="00000000">
              <w:rPr>
                <w:rtl w:val="0"/>
              </w:rPr>
              <w:t xml:space="preserve">Non-insulated AWG-30 wires (one per electrical pad)</w:t>
            </w:r>
          </w:p>
        </w:tc>
      </w:tr>
      <w:tr>
        <w:trPr>
          <w:trHeight w:val="960.3274972098212" w:hRule="atLeast"/>
        </w:trPr>
        <w:tc>
          <w:tcPr>
            <w:vMerge w:val="continue"/>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0">
            <w:pPr>
              <w:spacing w:after="0" w:line="240" w:lineRule="auto"/>
              <w:ind w:hanging="2"/>
              <w:rPr/>
            </w:pPr>
            <w:r w:rsidDel="00000000" w:rsidR="00000000" w:rsidRPr="00000000">
              <w:rPr>
                <w:rtl w:val="0"/>
              </w:rPr>
              <w:t xml:space="preserve">Dimensions of the topstage of the TEC</w:t>
            </w:r>
          </w:p>
        </w:tc>
        <w:tc>
          <w:tcPr/>
          <w:p w:rsidR="00000000" w:rsidDel="00000000" w:rsidP="00000000" w:rsidRDefault="00000000" w:rsidRPr="00000000" w14:paraId="00000041">
            <w:pPr>
              <w:spacing w:after="0" w:line="240" w:lineRule="auto"/>
              <w:ind w:hanging="2"/>
              <w:rPr/>
            </w:pPr>
            <w:r w:rsidDel="00000000" w:rsidR="00000000" w:rsidRPr="00000000">
              <w:rPr>
                <w:rtl w:val="0"/>
              </w:rPr>
              <w:t xml:space="preserve">Not less than 2,5 x 2,5 mm</w:t>
            </w:r>
          </w:p>
        </w:tc>
      </w:tr>
      <w:tr>
        <w:trPr>
          <w:trHeight w:val="960.3274972098212" w:hRule="atLeast"/>
        </w:trPr>
        <w:tc>
          <w:tcPr>
            <w:vMerge w:val="continue"/>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4">
            <w:pPr>
              <w:spacing w:after="0" w:line="240" w:lineRule="auto"/>
              <w:ind w:hanging="2"/>
              <w:rPr/>
            </w:pPr>
            <w:r w:rsidDel="00000000" w:rsidR="00000000" w:rsidRPr="00000000">
              <w:rPr>
                <w:rtl w:val="0"/>
              </w:rPr>
              <w:t xml:space="preserve">Dimensions of the bottomstageof the TEC</w:t>
            </w:r>
          </w:p>
        </w:tc>
        <w:tc>
          <w:tcPr/>
          <w:p w:rsidR="00000000" w:rsidDel="00000000" w:rsidP="00000000" w:rsidRDefault="00000000" w:rsidRPr="00000000" w14:paraId="00000045">
            <w:pPr>
              <w:spacing w:after="0" w:line="240" w:lineRule="auto"/>
              <w:ind w:hanging="2"/>
              <w:rPr/>
            </w:pPr>
            <w:r w:rsidDel="00000000" w:rsidR="00000000" w:rsidRPr="00000000">
              <w:rPr>
                <w:rtl w:val="0"/>
              </w:rPr>
              <w:t xml:space="preserve">7,4±0,1 mm x 7,4±0,1 mm</w:t>
            </w:r>
          </w:p>
        </w:tc>
      </w:tr>
      <w:tr>
        <w:trPr>
          <w:trHeight w:val="960.3274972098212" w:hRule="atLeast"/>
        </w:trPr>
        <w:tc>
          <w:tcPr>
            <w:vMerge w:val="continue"/>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8">
            <w:pPr>
              <w:spacing w:after="0" w:line="240" w:lineRule="auto"/>
              <w:ind w:hanging="2"/>
              <w:rPr/>
            </w:pPr>
            <w:r w:rsidDel="00000000" w:rsidR="00000000" w:rsidRPr="00000000">
              <w:rPr>
                <w:rtl w:val="0"/>
              </w:rPr>
              <w:t xml:space="preserve">Height of the TEC</w:t>
            </w:r>
          </w:p>
        </w:tc>
        <w:tc>
          <w:tcPr/>
          <w:p w:rsidR="00000000" w:rsidDel="00000000" w:rsidP="00000000" w:rsidRDefault="00000000" w:rsidRPr="00000000" w14:paraId="00000049">
            <w:pPr>
              <w:spacing w:after="0" w:line="240" w:lineRule="auto"/>
              <w:ind w:hanging="2"/>
              <w:rPr/>
            </w:pPr>
            <w:r w:rsidDel="00000000" w:rsidR="00000000" w:rsidRPr="00000000">
              <w:rPr>
                <w:rtl w:val="0"/>
              </w:rPr>
              <w:t xml:space="preserve">6,9 mm ± 0,25mm</w:t>
            </w:r>
          </w:p>
        </w:tc>
      </w:tr>
      <w:tr>
        <w:trPr>
          <w:trHeight w:val="960.3274972098212" w:hRule="atLeast"/>
        </w:trPr>
        <w:tc>
          <w:tcPr>
            <w:vMerge w:val="continue"/>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C">
            <w:pPr>
              <w:spacing w:after="0" w:line="240" w:lineRule="auto"/>
              <w:ind w:hanging="2"/>
              <w:rPr/>
            </w:pPr>
            <w:r w:rsidDel="00000000" w:rsidR="00000000" w:rsidRPr="00000000">
              <w:rPr>
                <w:rtl w:val="0"/>
              </w:rPr>
              <w:t xml:space="preserve">ΔTmax K </w:t>
            </w:r>
          </w:p>
        </w:tc>
        <w:tc>
          <w:tcPr/>
          <w:p w:rsidR="00000000" w:rsidDel="00000000" w:rsidP="00000000" w:rsidRDefault="00000000" w:rsidRPr="00000000" w14:paraId="0000004D">
            <w:pPr>
              <w:spacing w:after="0" w:line="240" w:lineRule="auto"/>
              <w:ind w:hanging="2"/>
              <w:rPr/>
            </w:pPr>
            <w:r w:rsidDel="00000000" w:rsidR="00000000" w:rsidRPr="00000000">
              <w:rPr>
                <w:rtl w:val="0"/>
              </w:rPr>
              <w:t xml:space="preserve">Not less than 125 K</w:t>
            </w:r>
          </w:p>
        </w:tc>
      </w:tr>
      <w:tr>
        <w:trPr>
          <w:trHeight w:val="960.3274972098212" w:hRule="atLeast"/>
        </w:trPr>
        <w:tc>
          <w:tcPr>
            <w:vMerge w:val="continue"/>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0">
            <w:pPr>
              <w:spacing w:after="0" w:line="240" w:lineRule="auto"/>
              <w:ind w:hanging="2"/>
              <w:rPr/>
            </w:pPr>
            <w:r w:rsidDel="00000000" w:rsidR="00000000" w:rsidRPr="00000000">
              <w:rPr>
                <w:rtl w:val="0"/>
              </w:rPr>
              <w:t xml:space="preserve">Qmax W</w:t>
            </w:r>
          </w:p>
        </w:tc>
        <w:tc>
          <w:tcPr/>
          <w:p w:rsidR="00000000" w:rsidDel="00000000" w:rsidP="00000000" w:rsidRDefault="00000000" w:rsidRPr="00000000" w14:paraId="00000051">
            <w:pPr>
              <w:spacing w:after="0" w:line="240" w:lineRule="auto"/>
              <w:ind w:hanging="2"/>
              <w:rPr/>
            </w:pPr>
            <w:r w:rsidDel="00000000" w:rsidR="00000000" w:rsidRPr="00000000">
              <w:rPr>
                <w:rtl w:val="0"/>
              </w:rPr>
              <w:t xml:space="preserve">Not less than 0,28 W</w:t>
            </w:r>
          </w:p>
        </w:tc>
      </w:tr>
      <w:tr>
        <w:trPr>
          <w:trHeight w:val="960.3274972098212" w:hRule="atLeast"/>
        </w:trPr>
        <w:tc>
          <w:tcPr>
            <w:vMerge w:val="continue"/>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4">
            <w:pPr>
              <w:spacing w:after="0" w:line="240" w:lineRule="auto"/>
              <w:ind w:hanging="2"/>
              <w:rPr/>
            </w:pPr>
            <w:r w:rsidDel="00000000" w:rsidR="00000000" w:rsidRPr="00000000">
              <w:rPr>
                <w:rtl w:val="0"/>
              </w:rPr>
              <w:t xml:space="preserve">Imax A</w:t>
            </w:r>
          </w:p>
          <w:p w:rsidR="00000000" w:rsidDel="00000000" w:rsidP="00000000" w:rsidRDefault="00000000" w:rsidRPr="00000000" w14:paraId="00000055">
            <w:pPr>
              <w:spacing w:after="0" w:line="240" w:lineRule="auto"/>
              <w:ind w:hanging="2"/>
              <w:rPr/>
            </w:pPr>
            <w:r w:rsidDel="00000000" w:rsidR="00000000" w:rsidRPr="00000000">
              <w:rPr>
                <w:rtl w:val="0"/>
              </w:rPr>
              <w:t xml:space="preserve">Umax V</w:t>
            </w:r>
          </w:p>
        </w:tc>
        <w:tc>
          <w:tcPr/>
          <w:p w:rsidR="00000000" w:rsidDel="00000000" w:rsidP="00000000" w:rsidRDefault="00000000" w:rsidRPr="00000000" w14:paraId="00000056">
            <w:pPr>
              <w:spacing w:after="0" w:line="240" w:lineRule="auto"/>
              <w:ind w:hanging="2"/>
              <w:rPr/>
            </w:pPr>
            <w:r w:rsidDel="00000000" w:rsidR="00000000" w:rsidRPr="00000000">
              <w:rPr>
                <w:rtl w:val="0"/>
              </w:rPr>
              <w:t xml:space="preserve">0,5±0,05 A</w:t>
            </w:r>
          </w:p>
          <w:p w:rsidR="00000000" w:rsidDel="00000000" w:rsidP="00000000" w:rsidRDefault="00000000" w:rsidRPr="00000000" w14:paraId="00000057">
            <w:pPr>
              <w:spacing w:after="0" w:line="240" w:lineRule="auto"/>
              <w:ind w:hanging="2"/>
              <w:rPr/>
            </w:pPr>
            <w:r w:rsidDel="00000000" w:rsidR="00000000" w:rsidRPr="00000000">
              <w:rPr>
                <w:rtl w:val="0"/>
              </w:rPr>
              <w:t xml:space="preserve">8,4±0,8 V</w:t>
            </w:r>
          </w:p>
        </w:tc>
      </w:tr>
      <w:tr>
        <w:trPr>
          <w:trHeight w:val="960.3274972098212" w:hRule="atLeast"/>
        </w:trPr>
        <w:tc>
          <w:tcPr>
            <w:vMerge w:val="continue"/>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59">
            <w:pPr>
              <w:widowControl w:val="0"/>
              <w:spacing w:after="0" w:lineRule="auto"/>
              <w:ind w:hanging="2"/>
              <w:rPr/>
            </w:pPr>
            <w:r w:rsidDel="00000000" w:rsidR="00000000" w:rsidRPr="00000000">
              <w:rPr>
                <w:rtl w:val="0"/>
              </w:rPr>
              <w:t xml:space="preserve">Header TO-8 12 pin parameters</w:t>
            </w:r>
          </w:p>
        </w:tc>
        <w:tc>
          <w:tcPr>
            <w:tcMar>
              <w:top w:w="55.0" w:type="dxa"/>
              <w:left w:w="55.0" w:type="dxa"/>
              <w:bottom w:w="55.0" w:type="dxa"/>
              <w:right w:w="55.0" w:type="dxa"/>
            </w:tcMar>
          </w:tcPr>
          <w:p w:rsidR="00000000" w:rsidDel="00000000" w:rsidP="00000000" w:rsidRDefault="00000000" w:rsidRPr="00000000" w14:paraId="0000005A">
            <w:pPr>
              <w:spacing w:after="0" w:line="240" w:lineRule="auto"/>
              <w:ind w:hanging="2"/>
              <w:rPr/>
            </w:pPr>
            <w:r w:rsidDel="00000000" w:rsidR="00000000" w:rsidRPr="00000000">
              <w:rPr>
                <w:rtl w:val="0"/>
              </w:rPr>
              <w:t xml:space="preserve">Header type</w:t>
            </w:r>
          </w:p>
        </w:tc>
        <w:tc>
          <w:tcPr/>
          <w:p w:rsidR="00000000" w:rsidDel="00000000" w:rsidP="00000000" w:rsidRDefault="00000000" w:rsidRPr="00000000" w14:paraId="0000005B">
            <w:pPr>
              <w:spacing w:after="0" w:line="240" w:lineRule="auto"/>
              <w:ind w:hanging="2"/>
              <w:rPr/>
            </w:pPr>
            <w:r w:rsidDel="00000000" w:rsidR="00000000" w:rsidRPr="00000000">
              <w:rPr>
                <w:rtl w:val="0"/>
              </w:rPr>
              <w:t xml:space="preserve">TO8</w:t>
            </w:r>
          </w:p>
        </w:tc>
      </w:tr>
      <w:tr>
        <w:trPr>
          <w:trHeight w:val="960.3274972098212" w:hRule="atLeast"/>
        </w:trPr>
        <w:tc>
          <w:tcPr>
            <w:vMerge w:val="continue"/>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E">
            <w:pPr>
              <w:spacing w:after="0" w:line="240" w:lineRule="auto"/>
              <w:ind w:hanging="2"/>
              <w:rPr/>
            </w:pPr>
            <w:r w:rsidDel="00000000" w:rsidR="00000000" w:rsidRPr="00000000">
              <w:rPr>
                <w:rtl w:val="0"/>
              </w:rPr>
              <w:t xml:space="preserve">Number of electrical outputs</w:t>
            </w:r>
          </w:p>
        </w:tc>
        <w:tc>
          <w:tcPr/>
          <w:p w:rsidR="00000000" w:rsidDel="00000000" w:rsidP="00000000" w:rsidRDefault="00000000" w:rsidRPr="00000000" w14:paraId="0000005F">
            <w:pPr>
              <w:spacing w:after="0" w:line="240" w:lineRule="auto"/>
              <w:ind w:hanging="2"/>
              <w:rPr/>
            </w:pPr>
            <w:r w:rsidDel="00000000" w:rsidR="00000000" w:rsidRPr="00000000">
              <w:rPr>
                <w:rtl w:val="0"/>
              </w:rPr>
              <w:t xml:space="preserve">12 pin, including 1 ground pin (pin 11)</w:t>
            </w:r>
          </w:p>
        </w:tc>
      </w:tr>
      <w:tr>
        <w:trPr>
          <w:trHeight w:val="960.3274972098212" w:hRule="atLeast"/>
        </w:trPr>
        <w:tc>
          <w:tcPr>
            <w:vMerge w:val="continue"/>
            <w:vAlign w:val="center"/>
          </w:tcPr>
          <w:p w:rsidR="00000000" w:rsidDel="00000000" w:rsidP="00000000" w:rsidRDefault="00000000" w:rsidRPr="00000000" w14:paraId="00000060">
            <w:pPr>
              <w:widowControl w:val="0"/>
              <w:spacing w:after="0" w:line="276" w:lineRule="auto"/>
              <w:rPr>
                <w:b w:val="1"/>
                <w:sz w:val="18"/>
                <w:szCs w:val="18"/>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1">
            <w:pPr>
              <w:widowControl w:val="0"/>
              <w:spacing w:after="0" w:line="276" w:lineRule="auto"/>
              <w:rPr>
                <w:b w:val="1"/>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2">
            <w:pPr>
              <w:spacing w:after="0" w:line="240" w:lineRule="auto"/>
              <w:ind w:hanging="2"/>
              <w:rPr/>
            </w:pPr>
            <w:r w:rsidDel="00000000" w:rsidR="00000000" w:rsidRPr="00000000">
              <w:rPr>
                <w:rtl w:val="0"/>
              </w:rPr>
              <w:t xml:space="preserve">Material of header</w:t>
            </w:r>
          </w:p>
        </w:tc>
        <w:tc>
          <w:tcPr/>
          <w:p w:rsidR="00000000" w:rsidDel="00000000" w:rsidP="00000000" w:rsidRDefault="00000000" w:rsidRPr="00000000" w14:paraId="00000063">
            <w:pPr>
              <w:spacing w:after="0" w:line="240" w:lineRule="auto"/>
              <w:ind w:hanging="2"/>
              <w:rPr/>
            </w:pPr>
            <w:r w:rsidDel="00000000" w:rsidR="00000000" w:rsidRPr="00000000">
              <w:rPr>
                <w:rtl w:val="0"/>
              </w:rPr>
              <w:t xml:space="preserve">Kovar (alloy according to ASTM F-15)</w:t>
            </w:r>
          </w:p>
        </w:tc>
      </w:tr>
      <w:tr>
        <w:trPr>
          <w:trHeight w:val="960.3274972098212" w:hRule="atLeast"/>
        </w:trPr>
        <w:tc>
          <w:tcPr>
            <w:vMerge w:val="continue"/>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6">
            <w:pPr>
              <w:spacing w:after="0" w:line="240" w:lineRule="auto"/>
              <w:ind w:hanging="2"/>
              <w:rPr/>
            </w:pPr>
            <w:r w:rsidDel="00000000" w:rsidR="00000000" w:rsidRPr="00000000">
              <w:rPr>
                <w:rtl w:val="0"/>
              </w:rPr>
              <w:t xml:space="preserve">Metallization of the header</w:t>
            </w:r>
          </w:p>
        </w:tc>
        <w:tc>
          <w:tcPr/>
          <w:p w:rsidR="00000000" w:rsidDel="00000000" w:rsidP="00000000" w:rsidRDefault="00000000" w:rsidRPr="00000000" w14:paraId="00000067">
            <w:pPr>
              <w:spacing w:after="0" w:line="240" w:lineRule="auto"/>
              <w:ind w:hanging="2"/>
              <w:rPr/>
            </w:pPr>
            <w:r w:rsidDel="00000000" w:rsidR="00000000" w:rsidRPr="00000000">
              <w:rPr>
                <w:rtl w:val="0"/>
              </w:rPr>
              <w:t xml:space="preserve">1.Ni layer - metallization thickness 1.27-3.8 μm</w:t>
            </w:r>
          </w:p>
          <w:p w:rsidR="00000000" w:rsidDel="00000000" w:rsidP="00000000" w:rsidRDefault="00000000" w:rsidRPr="00000000" w14:paraId="00000068">
            <w:pPr>
              <w:spacing w:after="0" w:line="240" w:lineRule="auto"/>
              <w:ind w:hanging="2"/>
              <w:rPr/>
            </w:pPr>
            <w:r w:rsidDel="00000000" w:rsidR="00000000" w:rsidRPr="00000000">
              <w:rPr>
                <w:rtl w:val="0"/>
              </w:rPr>
              <w:t xml:space="preserve">2. Au layer - metallization thickness&gt; 1.27 μm</w:t>
            </w:r>
          </w:p>
        </w:tc>
      </w:tr>
      <w:tr>
        <w:trPr>
          <w:trHeight w:val="960.3274972098212" w:hRule="atLeast"/>
        </w:trPr>
        <w:tc>
          <w:tcPr>
            <w:vMerge w:val="continue"/>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B">
            <w:pPr>
              <w:spacing w:after="0" w:line="240" w:lineRule="auto"/>
              <w:ind w:hanging="2"/>
              <w:rPr/>
            </w:pPr>
            <w:r w:rsidDel="00000000" w:rsidR="00000000" w:rsidRPr="00000000">
              <w:rPr>
                <w:rtl w:val="0"/>
              </w:rPr>
              <w:t xml:space="preserve">Pin material</w:t>
            </w:r>
          </w:p>
        </w:tc>
        <w:tc>
          <w:tcPr/>
          <w:p w:rsidR="00000000" w:rsidDel="00000000" w:rsidP="00000000" w:rsidRDefault="00000000" w:rsidRPr="00000000" w14:paraId="0000006C">
            <w:pPr>
              <w:spacing w:after="0" w:line="240" w:lineRule="auto"/>
              <w:ind w:hanging="2"/>
              <w:rPr/>
            </w:pPr>
            <w:r w:rsidDel="00000000" w:rsidR="00000000" w:rsidRPr="00000000">
              <w:rPr>
                <w:rtl w:val="0"/>
              </w:rPr>
              <w:t xml:space="preserve">Kovar (alloy according to ASTM F-15)</w:t>
            </w:r>
          </w:p>
        </w:tc>
      </w:tr>
      <w:tr>
        <w:trPr>
          <w:trHeight w:val="960.3274972098212" w:hRule="atLeast"/>
        </w:trPr>
        <w:tc>
          <w:tcPr>
            <w:vMerge w:val="continue"/>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F">
            <w:pPr>
              <w:spacing w:after="0" w:line="240" w:lineRule="auto"/>
              <w:ind w:hanging="2"/>
              <w:rPr/>
            </w:pPr>
            <w:r w:rsidDel="00000000" w:rsidR="00000000" w:rsidRPr="00000000">
              <w:rPr>
                <w:rtl w:val="0"/>
              </w:rPr>
              <w:t xml:space="preserve">Metallization of the pins</w:t>
            </w:r>
          </w:p>
        </w:tc>
        <w:tc>
          <w:tcPr/>
          <w:p w:rsidR="00000000" w:rsidDel="00000000" w:rsidP="00000000" w:rsidRDefault="00000000" w:rsidRPr="00000000" w14:paraId="00000070">
            <w:pPr>
              <w:spacing w:after="0" w:line="240" w:lineRule="auto"/>
              <w:ind w:hanging="2"/>
              <w:rPr/>
            </w:pPr>
            <w:r w:rsidDel="00000000" w:rsidR="00000000" w:rsidRPr="00000000">
              <w:rPr>
                <w:rtl w:val="0"/>
              </w:rPr>
              <w:t xml:space="preserve">1.Ni layer - metallization thickness 1.27-3.8 μm</w:t>
            </w:r>
          </w:p>
          <w:p w:rsidR="00000000" w:rsidDel="00000000" w:rsidP="00000000" w:rsidRDefault="00000000" w:rsidRPr="00000000" w14:paraId="00000071">
            <w:pPr>
              <w:spacing w:after="0" w:line="240" w:lineRule="auto"/>
              <w:ind w:hanging="2"/>
              <w:rPr/>
            </w:pPr>
            <w:r w:rsidDel="00000000" w:rsidR="00000000" w:rsidRPr="00000000">
              <w:rPr>
                <w:rtl w:val="0"/>
              </w:rPr>
              <w:t xml:space="preserve">2. Au layer - metallization thickness&gt; 1.27 μm</w:t>
            </w:r>
          </w:p>
        </w:tc>
      </w:tr>
      <w:tr>
        <w:trPr>
          <w:trHeight w:val="960.3274972098212" w:hRule="atLeast"/>
        </w:trPr>
        <w:tc>
          <w:tcPr>
            <w:vMerge w:val="continue"/>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4">
            <w:pPr>
              <w:spacing w:after="0" w:line="240" w:lineRule="auto"/>
              <w:ind w:hanging="2"/>
              <w:rPr/>
            </w:pPr>
            <w:r w:rsidDel="00000000" w:rsidR="00000000" w:rsidRPr="00000000">
              <w:rPr>
                <w:rtl w:val="0"/>
              </w:rPr>
              <w:t xml:space="preserve">Mounting screw</w:t>
            </w:r>
          </w:p>
        </w:tc>
        <w:tc>
          <w:tcPr/>
          <w:p w:rsidR="00000000" w:rsidDel="00000000" w:rsidP="00000000" w:rsidRDefault="00000000" w:rsidRPr="00000000" w14:paraId="00000075">
            <w:pPr>
              <w:spacing w:after="0" w:line="240" w:lineRule="auto"/>
              <w:ind w:hanging="2"/>
              <w:rPr/>
            </w:pPr>
            <w:r w:rsidDel="00000000" w:rsidR="00000000" w:rsidRPr="00000000">
              <w:rPr>
                <w:rtl w:val="0"/>
              </w:rPr>
              <w:t xml:space="preserve">Screw material - CRS (cold rolled steel)</w:t>
            </w:r>
          </w:p>
          <w:p w:rsidR="00000000" w:rsidDel="00000000" w:rsidP="00000000" w:rsidRDefault="00000000" w:rsidRPr="00000000" w14:paraId="00000076">
            <w:pPr>
              <w:spacing w:after="0" w:line="240" w:lineRule="auto"/>
              <w:ind w:hanging="2"/>
              <w:rPr/>
            </w:pPr>
            <w:r w:rsidDel="00000000" w:rsidR="00000000" w:rsidRPr="00000000">
              <w:rPr>
                <w:rtl w:val="0"/>
              </w:rPr>
              <w:t xml:space="preserve">Bolt thread - 4-40 UNC</w:t>
            </w:r>
          </w:p>
          <w:p w:rsidR="00000000" w:rsidDel="00000000" w:rsidP="00000000" w:rsidRDefault="00000000" w:rsidRPr="00000000" w14:paraId="00000077">
            <w:pPr>
              <w:spacing w:after="0" w:line="240" w:lineRule="auto"/>
              <w:ind w:hanging="2"/>
              <w:rPr/>
            </w:pPr>
            <w:r w:rsidDel="00000000" w:rsidR="00000000" w:rsidRPr="00000000">
              <w:rPr>
                <w:rtl w:val="0"/>
              </w:rPr>
              <w:t xml:space="preserve">Screw length - 6.4 ± 0.4 mm</w:t>
            </w:r>
          </w:p>
        </w:tc>
      </w:tr>
      <w:tr>
        <w:trPr>
          <w:trHeight w:val="960.3274972098212" w:hRule="atLeast"/>
        </w:trPr>
        <w:tc>
          <w:tcPr>
            <w:vMerge w:val="continue"/>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A">
            <w:pPr>
              <w:spacing w:after="0" w:line="240" w:lineRule="auto"/>
              <w:ind w:hanging="2"/>
              <w:rPr/>
            </w:pPr>
            <w:r w:rsidDel="00000000" w:rsidR="00000000" w:rsidRPr="00000000">
              <w:rPr>
                <w:rtl w:val="0"/>
              </w:rPr>
              <w:t xml:space="preserve">Sealing of the header openings</w:t>
            </w:r>
          </w:p>
        </w:tc>
        <w:tc>
          <w:tcPr/>
          <w:p w:rsidR="00000000" w:rsidDel="00000000" w:rsidP="00000000" w:rsidRDefault="00000000" w:rsidRPr="00000000" w14:paraId="0000007B">
            <w:pPr>
              <w:spacing w:after="0" w:line="240" w:lineRule="auto"/>
              <w:ind w:hanging="2"/>
              <w:rPr/>
            </w:pPr>
            <w:r w:rsidDel="00000000" w:rsidR="00000000" w:rsidRPr="00000000">
              <w:rPr>
                <w:rtl w:val="0"/>
              </w:rPr>
              <w:t xml:space="preserve">Electrically non-conductive, non-transparent, helium leakage of a sealing material less than </w:t>
            </w:r>
          </w:p>
          <w:p w:rsidR="00000000" w:rsidDel="00000000" w:rsidP="00000000" w:rsidRDefault="00000000" w:rsidRPr="00000000" w14:paraId="0000007C">
            <w:pPr>
              <w:spacing w:after="0" w:line="240" w:lineRule="auto"/>
              <w:ind w:hanging="2"/>
              <w:rPr/>
            </w:pPr>
            <w:r w:rsidDel="00000000" w:rsidR="00000000" w:rsidRPr="00000000">
              <w:rPr>
                <w:rtl w:val="0"/>
              </w:rPr>
              <w:t xml:space="preserve">10-8 mbar * l / s - e.g. Corning 7052 or equivalent</w:t>
            </w:r>
          </w:p>
        </w:tc>
      </w:tr>
      <w:tr>
        <w:trPr>
          <w:trHeight w:val="960.3274972098212" w:hRule="atLeast"/>
        </w:trPr>
        <w:tc>
          <w:tcPr>
            <w:vMerge w:val="continue"/>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F">
            <w:pPr>
              <w:spacing w:after="0" w:line="240" w:lineRule="auto"/>
              <w:ind w:hanging="2"/>
              <w:rPr/>
            </w:pPr>
            <w:r w:rsidDel="00000000" w:rsidR="00000000" w:rsidRPr="00000000">
              <w:rPr>
                <w:rtl w:val="0"/>
              </w:rPr>
              <w:t xml:space="preserve">The outer length of the pins (from the surface with the thread mounted)</w:t>
            </w:r>
          </w:p>
        </w:tc>
        <w:tc>
          <w:tcPr/>
          <w:p w:rsidR="00000000" w:rsidDel="00000000" w:rsidP="00000000" w:rsidRDefault="00000000" w:rsidRPr="00000000" w14:paraId="00000080">
            <w:pPr>
              <w:spacing w:after="0" w:line="240" w:lineRule="auto"/>
              <w:ind w:hanging="2"/>
              <w:rPr/>
            </w:pPr>
            <w:r w:rsidDel="00000000" w:rsidR="00000000" w:rsidRPr="00000000">
              <w:rPr>
                <w:rtl w:val="0"/>
              </w:rPr>
              <w:t xml:space="preserve">7,9±0,25 mm</w:t>
            </w:r>
          </w:p>
        </w:tc>
      </w:tr>
      <w:tr>
        <w:trPr>
          <w:trHeight w:val="960.3274972098212" w:hRule="atLeast"/>
        </w:trPr>
        <w:tc>
          <w:tcPr>
            <w:vMerge w:val="continue"/>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3">
            <w:pPr>
              <w:spacing w:after="0" w:line="240" w:lineRule="auto"/>
              <w:ind w:hanging="2"/>
              <w:rPr/>
            </w:pPr>
            <w:r w:rsidDel="00000000" w:rsidR="00000000" w:rsidRPr="00000000">
              <w:rPr>
                <w:rtl w:val="0"/>
              </w:rPr>
              <w:t xml:space="preserve">The internal length of the pins ( from the mounting surface of the cooler)</w:t>
            </w:r>
          </w:p>
        </w:tc>
        <w:tc>
          <w:tcPr/>
          <w:p w:rsidR="00000000" w:rsidDel="00000000" w:rsidP="00000000" w:rsidRDefault="00000000" w:rsidRPr="00000000" w14:paraId="00000084">
            <w:pPr>
              <w:spacing w:after="0" w:line="240" w:lineRule="auto"/>
              <w:ind w:hanging="2"/>
              <w:rPr/>
            </w:pPr>
            <w:r w:rsidDel="00000000" w:rsidR="00000000" w:rsidRPr="00000000">
              <w:rPr>
                <w:rtl w:val="0"/>
              </w:rPr>
              <w:t xml:space="preserve">2±0,1 mm</w:t>
            </w:r>
          </w:p>
        </w:tc>
      </w:tr>
      <w:tr>
        <w:trPr>
          <w:trHeight w:val="960.3274972098212" w:hRule="atLeast"/>
        </w:trPr>
        <w:tc>
          <w:tcPr>
            <w:vMerge w:val="continue"/>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86">
            <w:pPr>
              <w:widowControl w:val="0"/>
              <w:spacing w:after="0" w:lineRule="auto"/>
              <w:ind w:hanging="2"/>
              <w:rPr/>
            </w:pPr>
            <w:r w:rsidDel="00000000" w:rsidR="00000000" w:rsidRPr="00000000">
              <w:rPr>
                <w:rtl w:val="0"/>
              </w:rPr>
              <w:t xml:space="preserve">Features of the set: cooler on the header</w:t>
            </w:r>
          </w:p>
        </w:tc>
        <w:tc>
          <w:tcPr>
            <w:tcMar>
              <w:top w:w="55.0" w:type="dxa"/>
              <w:left w:w="55.0" w:type="dxa"/>
              <w:bottom w:w="55.0" w:type="dxa"/>
              <w:right w:w="55.0" w:type="dxa"/>
            </w:tcMar>
          </w:tcPr>
          <w:p w:rsidR="00000000" w:rsidDel="00000000" w:rsidP="00000000" w:rsidRDefault="00000000" w:rsidRPr="00000000" w14:paraId="00000087">
            <w:pPr>
              <w:spacing w:after="0" w:line="240" w:lineRule="auto"/>
              <w:ind w:hanging="2"/>
              <w:rPr/>
            </w:pPr>
            <w:r w:rsidDel="00000000" w:rsidR="00000000" w:rsidRPr="00000000">
              <w:rPr>
                <w:rtl w:val="0"/>
              </w:rPr>
              <w:t xml:space="preserve">The method of mounting the TEC to the header</w:t>
            </w:r>
          </w:p>
        </w:tc>
        <w:tc>
          <w:tcPr/>
          <w:p w:rsidR="00000000" w:rsidDel="00000000" w:rsidP="00000000" w:rsidRDefault="00000000" w:rsidRPr="00000000" w14:paraId="00000088">
            <w:pPr>
              <w:spacing w:after="0" w:line="240" w:lineRule="auto"/>
              <w:ind w:hanging="2"/>
              <w:rPr/>
            </w:pPr>
            <w:r w:rsidDel="00000000" w:rsidR="00000000" w:rsidRPr="00000000">
              <w:rPr>
                <w:rtl w:val="0"/>
              </w:rPr>
              <w:t xml:space="preserve">Soldering, RoHS lead-free solders, melting point &gt;200C</w:t>
            </w:r>
          </w:p>
        </w:tc>
      </w:tr>
      <w:tr>
        <w:trPr>
          <w:trHeight w:val="960.3274972098212" w:hRule="atLeast"/>
        </w:trPr>
        <w:tc>
          <w:tcPr>
            <w:vMerge w:val="continue"/>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B">
            <w:pPr>
              <w:spacing w:after="0" w:line="240" w:lineRule="auto"/>
              <w:ind w:hanging="2"/>
              <w:rPr/>
            </w:pPr>
            <w:r w:rsidDel="00000000" w:rsidR="00000000" w:rsidRPr="00000000">
              <w:rPr>
                <w:rtl w:val="0"/>
              </w:rPr>
              <w:t xml:space="preserve">The method of making electrical connections of the TEC</w:t>
            </w:r>
          </w:p>
        </w:tc>
        <w:tc>
          <w:tcPr/>
          <w:p w:rsidR="00000000" w:rsidDel="00000000" w:rsidP="00000000" w:rsidRDefault="00000000" w:rsidRPr="00000000" w14:paraId="0000008C">
            <w:pPr>
              <w:spacing w:after="0" w:line="240" w:lineRule="auto"/>
              <w:ind w:hanging="2"/>
              <w:rPr/>
            </w:pPr>
            <w:r w:rsidDel="00000000" w:rsidR="00000000" w:rsidRPr="00000000">
              <w:rPr>
                <w:rtl w:val="0"/>
              </w:rPr>
              <w:t xml:space="preserve">TEC terminal  wires soldered to the pins of the header  (pin 2 and 8)</w:t>
            </w:r>
          </w:p>
          <w:p w:rsidR="00000000" w:rsidDel="00000000" w:rsidP="00000000" w:rsidRDefault="00000000" w:rsidRPr="00000000" w14:paraId="0000008D">
            <w:pPr>
              <w:spacing w:after="0" w:line="240" w:lineRule="auto"/>
              <w:ind w:hanging="2"/>
              <w:rPr/>
            </w:pPr>
            <w:r w:rsidDel="00000000" w:rsidR="00000000" w:rsidRPr="00000000">
              <w:rPr>
                <w:rtl w:val="0"/>
              </w:rPr>
              <w:t xml:space="preserve">RoHS lead-free solders with a melting point &gt; 200C</w:t>
            </w:r>
          </w:p>
          <w:p w:rsidR="00000000" w:rsidDel="00000000" w:rsidP="00000000" w:rsidRDefault="00000000" w:rsidRPr="00000000" w14:paraId="0000008E">
            <w:pPr>
              <w:spacing w:after="0" w:line="240" w:lineRule="auto"/>
              <w:ind w:hanging="2"/>
              <w:rPr/>
            </w:pPr>
            <w:r w:rsidDel="00000000" w:rsidR="00000000" w:rsidRPr="00000000">
              <w:rPr>
                <w:rtl w:val="0"/>
              </w:rPr>
            </w:r>
          </w:p>
        </w:tc>
      </w:tr>
      <w:tr>
        <w:trPr>
          <w:trHeight w:val="960.3274972098212" w:hRule="atLeast"/>
        </w:trPr>
        <w:tc>
          <w:tcPr>
            <w:vMerge w:val="continue"/>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90">
            <w:pPr>
              <w:widowControl w:val="0"/>
              <w:spacing w:after="0" w:line="276" w:lineRule="auto"/>
              <w:rPr>
                <w:b w:val="1"/>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1">
            <w:pPr>
              <w:spacing w:after="0" w:line="240" w:lineRule="auto"/>
              <w:ind w:hanging="2"/>
              <w:rPr/>
            </w:pPr>
            <w:r w:rsidDel="00000000" w:rsidR="00000000" w:rsidRPr="00000000">
              <w:rPr>
                <w:rtl w:val="0"/>
              </w:rPr>
              <w:t xml:space="preserve">Tolerance location of the cooler after assembly</w:t>
            </w:r>
          </w:p>
        </w:tc>
        <w:tc>
          <w:tcPr/>
          <w:p w:rsidR="00000000" w:rsidDel="00000000" w:rsidP="00000000" w:rsidRDefault="00000000" w:rsidRPr="00000000" w14:paraId="00000092">
            <w:pPr>
              <w:spacing w:after="0" w:line="240" w:lineRule="auto"/>
              <w:ind w:hanging="2"/>
              <w:rPr/>
            </w:pPr>
            <w:r w:rsidDel="00000000" w:rsidR="00000000" w:rsidRPr="00000000">
              <w:rPr>
                <w:rtl w:val="0"/>
              </w:rPr>
              <w:t xml:space="preserve">The position error of the centre of the top stage of the TEC with respect to the axis defined by the centre of a header (defined in reference to a rant with a diameter of 13,4 mm) shall not exceed 200 μm</w:t>
            </w:r>
          </w:p>
        </w:tc>
      </w:tr>
      <w:tr>
        <w:trPr>
          <w:trHeight w:val="960.3274972098212" w:hRule="atLeast"/>
        </w:trPr>
        <w:tc>
          <w:tcPr>
            <w:vMerge w:val="continue"/>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5">
            <w:pPr>
              <w:spacing w:after="0" w:line="240" w:lineRule="auto"/>
              <w:ind w:hanging="2"/>
              <w:rPr/>
            </w:pPr>
            <w:r w:rsidDel="00000000" w:rsidR="00000000" w:rsidRPr="00000000">
              <w:rPr>
                <w:rtl w:val="0"/>
              </w:rPr>
              <w:t xml:space="preserve">ACR (cooler mounted to a header, measurement under vacuum, 300K)</w:t>
            </w:r>
          </w:p>
        </w:tc>
        <w:tc>
          <w:tcPr/>
          <w:p w:rsidR="00000000" w:rsidDel="00000000" w:rsidP="00000000" w:rsidRDefault="00000000" w:rsidRPr="00000000" w14:paraId="00000096">
            <w:pPr>
              <w:spacing w:after="0" w:line="240" w:lineRule="auto"/>
              <w:ind w:hanging="2"/>
              <w:rPr/>
            </w:pPr>
            <w:r w:rsidDel="00000000" w:rsidR="00000000" w:rsidRPr="00000000">
              <w:rPr>
                <w:rtl w:val="0"/>
              </w:rPr>
              <w:t xml:space="preserve">14,9±1,5 Ω</w:t>
            </w:r>
          </w:p>
        </w:tc>
      </w:tr>
    </w:tbl>
    <w:p w:rsidR="00000000" w:rsidDel="00000000" w:rsidP="00000000" w:rsidRDefault="00000000" w:rsidRPr="00000000" w14:paraId="00000097">
      <w:pPr>
        <w:spacing w:after="0" w:line="360" w:lineRule="auto"/>
        <w:rPr/>
      </w:pPr>
      <w:r w:rsidDel="00000000" w:rsidR="00000000" w:rsidRPr="00000000">
        <w:rPr>
          <w:rtl w:val="0"/>
        </w:rPr>
      </w:r>
    </w:p>
    <w:p w:rsidR="00000000" w:rsidDel="00000000" w:rsidP="00000000" w:rsidRDefault="00000000" w:rsidRPr="00000000" w14:paraId="00000098">
      <w:pPr>
        <w:spacing w:after="0" w:line="360" w:lineRule="auto"/>
        <w:rPr>
          <w:b w:val="1"/>
          <w:u w:val="single"/>
        </w:rPr>
      </w:pPr>
      <w:r w:rsidDel="00000000" w:rsidR="00000000" w:rsidRPr="00000000">
        <w:rPr>
          <w:b w:val="1"/>
          <w:u w:val="single"/>
          <w:rtl w:val="0"/>
        </w:rPr>
        <w:t xml:space="preserve">5.2 Detailed scope of the metallization of the TEC</w:t>
      </w:r>
    </w:p>
    <w:p w:rsidR="00000000" w:rsidDel="00000000" w:rsidP="00000000" w:rsidRDefault="00000000" w:rsidRPr="00000000" w14:paraId="00000099">
      <w:pPr>
        <w:spacing w:after="0" w:line="360" w:lineRule="auto"/>
        <w:rPr/>
      </w:pPr>
      <w:r w:rsidDel="00000000" w:rsidR="00000000" w:rsidRPr="00000000">
        <w:rPr>
          <w:rtl w:val="0"/>
        </w:rPr>
        <w:t xml:space="preserve">Attachment 1.A - Metallization of the TEC</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28.0" w:type="dxa"/>
        <w:left w:w="70.0" w:type="dxa"/>
        <w:bottom w:w="28.0" w:type="dxa"/>
        <w:right w:w="70.0" w:type="dxa"/>
      </w:tblCellMar>
    </w:tblPr>
  </w:style>
  <w:style w:type="table" w:styleId="a0" w:customStyle="1">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Sz8SMNgf6+G0Bfdt5hp+ThX+w==">AMUW2mW+ipYPJfCR/w3DB4z3dZZq0HCPBLCq+TSd5ai6E4OaI7xwnA8Fhauwt7Dow7Ff8oAuxVUFCyvA5akNrknh4Ep1sUKz6jWsgtx9KAUYueKZ2A6Dny2yo4OOIz7xjkYdpGYTIKn1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2021-03-22T17:19:00Z</dcterms:created>
  <dc:creator>Dominik Nowak</dc:creator>
</cp:coreProperties>
</file>