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0" w:line="240" w:lineRule="auto"/>
        <w:jc w:val="both"/>
        <w:rPr/>
      </w:pPr>
      <w:r w:rsidDel="00000000" w:rsidR="00000000" w:rsidRPr="00000000">
        <w:rPr>
          <w:rtl w:val="0"/>
        </w:rPr>
        <w:t xml:space="preserve">Przedmiotem zamówienia jest chłodziarka termoelektryczna w ilości:</w:t>
      </w:r>
    </w:p>
    <w:p w:rsidR="00000000" w:rsidDel="00000000" w:rsidP="00000000" w:rsidRDefault="00000000" w:rsidRPr="00000000" w14:paraId="00000004">
      <w:pPr>
        <w:numPr>
          <w:ilvl w:val="0"/>
          <w:numId w:val="3"/>
        </w:numPr>
        <w:spacing w:after="0" w:line="240" w:lineRule="auto"/>
        <w:ind w:left="720" w:hanging="360"/>
        <w:jc w:val="both"/>
        <w:rPr/>
      </w:pPr>
      <w:r w:rsidDel="00000000" w:rsidR="00000000" w:rsidRPr="00000000">
        <w:rPr>
          <w:rtl w:val="0"/>
        </w:rPr>
        <w:t xml:space="preserve">Metalizowana chłodziarka termoelektryczna 4TE na podstawce TO8 – 12 pin – 4MD04-116-1 - 40 szt.</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7">
      <w:pPr>
        <w:spacing w:after="0" w:line="240" w:lineRule="auto"/>
        <w:jc w:val="both"/>
        <w:rPr/>
      </w:pPr>
      <w:bookmarkStart w:colFirst="0" w:colLast="0" w:name="_heading=h.gjdgxs" w:id="0"/>
      <w:bookmarkEnd w:id="0"/>
      <w:r w:rsidDel="00000000" w:rsidR="00000000" w:rsidRPr="00000000">
        <w:rPr>
          <w:rtl w:val="0"/>
        </w:rPr>
        <w:t xml:space="preserve">Szczegółowy opis przedmiotu zamówienia znajduje się w punkcie 5 niniejszego dokumentu. </w:t>
      </w:r>
    </w:p>
    <w:p w:rsidR="00000000" w:rsidDel="00000000" w:rsidP="00000000" w:rsidRDefault="00000000" w:rsidRPr="00000000" w14:paraId="00000008">
      <w:pPr>
        <w:spacing w:after="0" w:line="240" w:lineRule="auto"/>
        <w:jc w:val="both"/>
        <w:rPr/>
      </w:pPr>
      <w:bookmarkStart w:colFirst="0" w:colLast="0" w:name="_heading=h.30j0zll" w:id="1"/>
      <w:bookmarkEnd w:id="1"/>
      <w:r w:rsidDel="00000000" w:rsidR="00000000" w:rsidRPr="00000000">
        <w:rPr>
          <w:rtl w:val="0"/>
        </w:rPr>
        <w:t xml:space="preserve">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Kryteria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t xml:space="preserve">Oferty oceniane będą wg skali punktowej z maksymalną liczbą punktów wynoszącą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B">
            <w:pPr>
              <w:widowControl w:val="0"/>
              <w:spacing w:after="0" w:line="240" w:lineRule="auto"/>
              <w:jc w:val="center"/>
              <w:rPr/>
            </w:pPr>
            <w:r w:rsidDel="00000000" w:rsidR="00000000" w:rsidRPr="00000000">
              <w:rPr>
                <w:rtl w:val="0"/>
              </w:rPr>
              <w:t xml:space="preserve">Kryterium</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C">
            <w:pPr>
              <w:widowControl w:val="0"/>
              <w:spacing w:after="0" w:line="240" w:lineRule="auto"/>
              <w:jc w:val="center"/>
              <w:rPr/>
            </w:pPr>
            <w:r w:rsidDel="00000000" w:rsidR="00000000" w:rsidRPr="00000000">
              <w:rPr>
                <w:rtl w:val="0"/>
              </w:rPr>
              <w:t xml:space="preserve">Maksymalna ilość punktów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Metoda przyznawania punktów</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E">
            <w:pPr>
              <w:widowControl w:val="0"/>
              <w:spacing w:after="0" w:line="240" w:lineRule="auto"/>
              <w:rPr/>
            </w:pPr>
            <w:r w:rsidDel="00000000" w:rsidR="00000000" w:rsidRPr="00000000">
              <w:rPr>
                <w:rtl w:val="0"/>
              </w:rPr>
              <w:t xml:space="preserve">Cena netto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Gdzie:</w:t>
      </w:r>
    </w:p>
    <w:p w:rsidR="00000000" w:rsidDel="00000000" w:rsidP="00000000" w:rsidRDefault="00000000" w:rsidRPr="00000000" w14:paraId="00000013">
      <w:pPr>
        <w:numPr>
          <w:ilvl w:val="0"/>
          <w:numId w:val="4"/>
        </w:numPr>
        <w:spacing w:after="0" w:line="240" w:lineRule="auto"/>
        <w:ind w:left="720" w:hanging="360"/>
        <w:jc w:val="both"/>
        <w:rPr/>
      </w:pPr>
      <w:r w:rsidDel="00000000" w:rsidR="00000000" w:rsidRPr="00000000">
        <w:rPr>
          <w:rtl w:val="0"/>
        </w:rPr>
        <w:t xml:space="preserve">Pi – cena netto  towarów - dla danej przedłożonej oferty</w:t>
      </w:r>
    </w:p>
    <w:p w:rsidR="00000000" w:rsidDel="00000000" w:rsidP="00000000" w:rsidRDefault="00000000" w:rsidRPr="00000000" w14:paraId="00000014">
      <w:pPr>
        <w:numPr>
          <w:ilvl w:val="0"/>
          <w:numId w:val="4"/>
        </w:numPr>
        <w:spacing w:after="0" w:line="240" w:lineRule="auto"/>
        <w:ind w:left="720" w:hanging="360"/>
        <w:jc w:val="both"/>
        <w:rPr>
          <w:u w:val="single"/>
        </w:rPr>
      </w:pPr>
      <w:r w:rsidDel="00000000" w:rsidR="00000000" w:rsidRPr="00000000">
        <w:rPr>
          <w:rtl w:val="0"/>
        </w:rPr>
        <w:t xml:space="preserve">Pmin - minimalna cena netto dostawy zamawianych towarów spośród wszystkich przedłożonych ofert</w:t>
      </w:r>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720" w:hanging="360"/>
        <w:jc w:val="both"/>
        <w:rPr>
          <w:u w:val="single"/>
        </w:rPr>
      </w:pPr>
      <w:r w:rsidDel="00000000" w:rsidR="00000000" w:rsidRPr="00000000">
        <w:rPr>
          <w:rtl w:val="0"/>
        </w:rPr>
        <w:t xml:space="preserve">S – liczba punktów</w:t>
      </w:r>
      <w:r w:rsidDel="00000000" w:rsidR="00000000" w:rsidRPr="00000000">
        <w:rPr>
          <w:rtl w:val="0"/>
        </w:rPr>
      </w:r>
    </w:p>
    <w:p w:rsidR="00000000" w:rsidDel="00000000" w:rsidP="00000000" w:rsidRDefault="00000000" w:rsidRPr="00000000" w14:paraId="00000016">
      <w:pPr>
        <w:spacing w:after="0" w:line="240" w:lineRule="auto"/>
        <w:jc w:val="both"/>
        <w:rPr/>
      </w:pPr>
      <w:bookmarkStart w:colFirst="0" w:colLast="0" w:name="_heading=h.1fob9te" w:id="2"/>
      <w:bookmarkEnd w:id="2"/>
      <w:r w:rsidDel="00000000" w:rsidR="00000000" w:rsidRPr="00000000">
        <w:rPr>
          <w:rtl w:val="0"/>
        </w:rPr>
        <w:t xml:space="preserve">Końcowa punktacja zostanie wyliczona poprzez zsumowanie składowych cząstkowych, a następnie zaokrąglona do dwóch miejsc po przecinku. (zaokrąglając od „5” w górę)</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Termin wykonania zamówienia</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ind w:left="360" w:firstLine="0"/>
        <w:jc w:val="both"/>
        <w:rPr>
          <w:b w:val="1"/>
        </w:rPr>
      </w:pPr>
      <w:r w:rsidDel="00000000" w:rsidR="00000000" w:rsidRPr="00000000">
        <w:rPr>
          <w:b w:val="1"/>
          <w:rtl w:val="0"/>
        </w:rPr>
        <w:t xml:space="preserve">Najszybciej jak to możliwe nie później niż 14 tygodni od dnia złożenia zamówienia. Zamawiający wymaga zastosowania zasady dostawy FCA  Incoterms 2020. FCA (free carrier) tj. za moment dostarczenia towaru uznaje się pozostawienie go do dyspozycji kuriera lub innej osoby wyznaczonej przez kupującego na terenie wskazanym przez dostawcę.</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Parametry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Szczegółowy zakres przedmiotu </w:t>
      </w:r>
    </w:p>
    <w:tbl>
      <w:tblPr>
        <w:tblStyle w:val="Table2"/>
        <w:tblW w:w="10305.0" w:type="dxa"/>
        <w:jc w:val="left"/>
        <w:tblInd w:w="-6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1305"/>
        <w:gridCol w:w="2970"/>
        <w:gridCol w:w="4245"/>
        <w:tblGridChange w:id="0">
          <w:tblGrid>
            <w:gridCol w:w="1785"/>
            <w:gridCol w:w="1305"/>
            <w:gridCol w:w="2970"/>
            <w:gridCol w:w="4245"/>
          </w:tblGrid>
        </w:tblGridChange>
      </w:tblGrid>
      <w:tr>
        <w:trPr>
          <w:trHeight w:val="240" w:hRule="atLeast"/>
        </w:trPr>
        <w:tc>
          <w:tcPr>
            <w:gridSpan w:val="2"/>
            <w:shd w:fill="dddddd" w:val="cle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 </w:t>
            </w:r>
          </w:p>
        </w:tc>
        <w:tc>
          <w:tcPr>
            <w:shd w:fill="dddddd"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Specyfikacja</w:t>
            </w:r>
          </w:p>
        </w:tc>
      </w:tr>
      <w:tr>
        <w:trPr>
          <w:trHeight w:val="49" w:hRule="atLeast"/>
        </w:trPr>
        <w:tc>
          <w:tcPr>
            <w:vMerge w:val="restart"/>
            <w:vAlign w:val="center"/>
          </w:tcPr>
          <w:p w:rsidR="00000000" w:rsidDel="00000000" w:rsidP="00000000" w:rsidRDefault="00000000" w:rsidRPr="00000000" w14:paraId="00000021">
            <w:pPr>
              <w:spacing w:after="0" w:line="240" w:lineRule="auto"/>
              <w:ind w:hanging="2"/>
              <w:jc w:val="both"/>
              <w:rPr/>
            </w:pPr>
            <w:r w:rsidDel="00000000" w:rsidR="00000000" w:rsidRPr="00000000">
              <w:rPr>
                <w:rtl w:val="0"/>
              </w:rPr>
              <w:t xml:space="preserve">Metalizowana chłodziarka termoelektryczna 4TE na podstawce TO8 – 12 pin – 4MD04-116-10</w:t>
            </w:r>
          </w:p>
        </w:tc>
        <w:tc>
          <w:tcPr>
            <w:vMerge w:val="restart"/>
            <w:tcMar>
              <w:top w:w="55.0" w:type="dxa"/>
              <w:left w:w="55.0" w:type="dxa"/>
              <w:bottom w:w="55.0" w:type="dxa"/>
              <w:right w:w="55.0" w:type="dxa"/>
            </w:tcMar>
            <w:vAlign w:val="center"/>
          </w:tcPr>
          <w:p w:rsidR="00000000" w:rsidDel="00000000" w:rsidP="00000000" w:rsidRDefault="00000000" w:rsidRPr="00000000" w14:paraId="00000022">
            <w:pPr>
              <w:widowControl w:val="0"/>
              <w:spacing w:after="0" w:line="240" w:lineRule="auto"/>
              <w:ind w:hanging="2"/>
              <w:rPr/>
            </w:pPr>
            <w:r w:rsidDel="00000000" w:rsidR="00000000" w:rsidRPr="00000000">
              <w:rPr>
                <w:rtl w:val="0"/>
              </w:rPr>
              <w:t xml:space="preserve">Parametry chłodziarki</w:t>
            </w:r>
          </w:p>
          <w:p w:rsidR="00000000" w:rsidDel="00000000" w:rsidP="00000000" w:rsidRDefault="00000000" w:rsidRPr="00000000" w14:paraId="00000023">
            <w:pPr>
              <w:widowControl w:val="0"/>
              <w:spacing w:after="0" w:line="240" w:lineRule="auto"/>
              <w:ind w:hanging="2"/>
              <w:rPr/>
            </w:pPr>
            <w:r w:rsidDel="00000000" w:rsidR="00000000" w:rsidRPr="00000000">
              <w:rPr>
                <w:rtl w:val="0"/>
              </w:rPr>
              <w:t xml:space="preserve">(warunki pomiaru – 300 K, próżnia)</w:t>
            </w:r>
          </w:p>
        </w:tc>
        <w:tc>
          <w:tcPr>
            <w:tcMar>
              <w:top w:w="55.0" w:type="dxa"/>
              <w:left w:w="55.0" w:type="dxa"/>
              <w:bottom w:w="55.0" w:type="dxa"/>
              <w:right w:w="55.0" w:type="dxa"/>
            </w:tcMar>
          </w:tcPr>
          <w:p w:rsidR="00000000" w:rsidDel="00000000" w:rsidP="00000000" w:rsidRDefault="00000000" w:rsidRPr="00000000" w14:paraId="00000024">
            <w:pPr>
              <w:spacing w:after="0" w:line="240" w:lineRule="auto"/>
              <w:ind w:hanging="2"/>
              <w:rPr/>
            </w:pPr>
            <w:r w:rsidDel="00000000" w:rsidR="00000000" w:rsidRPr="00000000">
              <w:rPr>
                <w:rtl w:val="0"/>
              </w:rPr>
              <w:t xml:space="preserve">Materiał ceramiki chłodziarki</w:t>
            </w:r>
          </w:p>
        </w:tc>
        <w:tc>
          <w:tcPr/>
          <w:p w:rsidR="00000000" w:rsidDel="00000000" w:rsidP="00000000" w:rsidRDefault="00000000" w:rsidRPr="00000000" w14:paraId="00000025">
            <w:pPr>
              <w:spacing w:after="0" w:line="240" w:lineRule="auto"/>
              <w:ind w:hanging="2"/>
              <w:rPr/>
            </w:pPr>
            <w:r w:rsidDel="00000000" w:rsidR="00000000" w:rsidRPr="00000000">
              <w:rPr>
                <w:rtl w:val="0"/>
              </w:rPr>
              <w:t xml:space="preserve">Al2O3</w:t>
            </w:r>
          </w:p>
        </w:tc>
      </w:tr>
      <w:tr>
        <w:trPr>
          <w:trHeight w:val="330" w:hRule="atLeast"/>
        </w:trPr>
        <w:tc>
          <w:tcPr>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spacing w:after="0" w:line="240" w:lineRule="auto"/>
              <w:ind w:hanging="2"/>
              <w:rPr/>
            </w:pPr>
            <w:r w:rsidDel="00000000" w:rsidR="00000000" w:rsidRPr="00000000">
              <w:rPr>
                <w:rtl w:val="0"/>
              </w:rPr>
              <w:t xml:space="preserve">Górna ceramika chłodziarki (ceramika nr 1)</w:t>
            </w:r>
          </w:p>
        </w:tc>
        <w:tc>
          <w:tcPr/>
          <w:p w:rsidR="00000000" w:rsidDel="00000000" w:rsidP="00000000" w:rsidRDefault="00000000" w:rsidRPr="00000000" w14:paraId="00000029">
            <w:pPr>
              <w:spacing w:after="0" w:line="240" w:lineRule="auto"/>
              <w:ind w:hanging="2"/>
              <w:rPr/>
            </w:pPr>
            <w:r w:rsidDel="00000000" w:rsidR="00000000" w:rsidRPr="00000000">
              <w:rPr>
                <w:rtl w:val="0"/>
              </w:rPr>
              <w:t xml:space="preserve">Bez naniesionej metalizacji na zewnętrznej powierzchni ceramiki</w:t>
            </w:r>
          </w:p>
        </w:tc>
      </w:tr>
      <w:tr>
        <w:trPr>
          <w:trHeight w:val="330" w:hRule="atLeast"/>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C">
            <w:pPr>
              <w:spacing w:after="0" w:line="240" w:lineRule="auto"/>
              <w:ind w:hanging="2"/>
              <w:rPr/>
            </w:pPr>
            <w:r w:rsidDel="00000000" w:rsidR="00000000" w:rsidRPr="00000000">
              <w:rPr>
                <w:rtl w:val="0"/>
              </w:rPr>
              <w:t xml:space="preserve">Górna pośrednia ceramika chłodziarki (ceramika nr 2)</w:t>
            </w:r>
          </w:p>
        </w:tc>
        <w:tc>
          <w:tcPr/>
          <w:p w:rsidR="00000000" w:rsidDel="00000000" w:rsidP="00000000" w:rsidRDefault="00000000" w:rsidRPr="00000000" w14:paraId="0000002D">
            <w:pPr>
              <w:spacing w:after="0" w:line="240" w:lineRule="auto"/>
              <w:ind w:hanging="2"/>
              <w:rPr/>
            </w:pPr>
            <w:r w:rsidDel="00000000" w:rsidR="00000000" w:rsidRPr="00000000">
              <w:rPr>
                <w:rtl w:val="0"/>
              </w:rPr>
              <w:t xml:space="preserve">Bez naniesionej metalizacji na zewnętrznej powierzchni ceramiki</w:t>
            </w:r>
          </w:p>
        </w:tc>
      </w:tr>
      <w:tr>
        <w:trPr>
          <w:trHeight w:val="330" w:hRule="atLeast"/>
        </w:trPr>
        <w:tc>
          <w:tcPr>
            <w:vMerge w:val="continue"/>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0">
            <w:pPr>
              <w:spacing w:after="0" w:line="240" w:lineRule="auto"/>
              <w:ind w:hanging="2"/>
              <w:rPr/>
            </w:pPr>
            <w:r w:rsidDel="00000000" w:rsidR="00000000" w:rsidRPr="00000000">
              <w:rPr>
                <w:rtl w:val="0"/>
              </w:rPr>
              <w:t xml:space="preserve">Środkowa pośrednia ceramika chłodziarki (ceramika nr 3)</w:t>
            </w:r>
          </w:p>
        </w:tc>
        <w:tc>
          <w:tcPr/>
          <w:p w:rsidR="00000000" w:rsidDel="00000000" w:rsidP="00000000" w:rsidRDefault="00000000" w:rsidRPr="00000000" w14:paraId="00000031">
            <w:pPr>
              <w:spacing w:after="0" w:line="240" w:lineRule="auto"/>
              <w:ind w:hanging="2"/>
              <w:rPr/>
            </w:pPr>
            <w:r w:rsidDel="00000000" w:rsidR="00000000" w:rsidRPr="00000000">
              <w:rPr>
                <w:rtl w:val="0"/>
              </w:rPr>
              <w:t xml:space="preserve">Metalizacja Au naniesiona na zewnętrzną powierzchnię ceramiki zgodnie z załączonym rysunkiem</w:t>
            </w:r>
          </w:p>
        </w:tc>
      </w:tr>
      <w:tr>
        <w:trPr>
          <w:trHeight w:val="330" w:hRule="atLeast"/>
        </w:trPr>
        <w:tc>
          <w:tcPr>
            <w:vMerge w:val="continue"/>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4">
            <w:pPr>
              <w:spacing w:after="0" w:line="240" w:lineRule="auto"/>
              <w:ind w:hanging="2"/>
              <w:rPr/>
            </w:pPr>
            <w:r w:rsidDel="00000000" w:rsidR="00000000" w:rsidRPr="00000000">
              <w:rPr>
                <w:rtl w:val="0"/>
              </w:rPr>
              <w:t xml:space="preserve">Dolna pośrednia ceramika chłodziarki (ceramika nr 4)</w:t>
            </w:r>
          </w:p>
        </w:tc>
        <w:tc>
          <w:tcPr/>
          <w:p w:rsidR="00000000" w:rsidDel="00000000" w:rsidP="00000000" w:rsidRDefault="00000000" w:rsidRPr="00000000" w14:paraId="00000035">
            <w:pPr>
              <w:spacing w:after="0" w:line="240" w:lineRule="auto"/>
              <w:ind w:hanging="2"/>
              <w:rPr/>
            </w:pPr>
            <w:r w:rsidDel="00000000" w:rsidR="00000000" w:rsidRPr="00000000">
              <w:rPr>
                <w:rtl w:val="0"/>
              </w:rPr>
              <w:t xml:space="preserve">Metalizacja Au naniesiona na zewnętrzną powierzchnię ceramiki zgodnie z załączonym rysunkiem</w:t>
            </w:r>
          </w:p>
        </w:tc>
      </w:tr>
      <w:tr>
        <w:trPr>
          <w:trHeight w:val="330" w:hRule="atLeast"/>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8">
            <w:pPr>
              <w:spacing w:after="0" w:line="240" w:lineRule="auto"/>
              <w:ind w:hanging="2"/>
              <w:rPr/>
            </w:pPr>
            <w:r w:rsidDel="00000000" w:rsidR="00000000" w:rsidRPr="00000000">
              <w:rPr>
                <w:rtl w:val="0"/>
              </w:rPr>
              <w:t xml:space="preserve">Lutowie do zmontowania chłodziarki (montaż pellets do ceramiki chłodziarki)</w:t>
            </w:r>
          </w:p>
        </w:tc>
        <w:tc>
          <w:tcPr/>
          <w:p w:rsidR="00000000" w:rsidDel="00000000" w:rsidP="00000000" w:rsidRDefault="00000000" w:rsidRPr="00000000" w14:paraId="00000039">
            <w:pPr>
              <w:spacing w:after="0" w:line="240" w:lineRule="auto"/>
              <w:ind w:hanging="2"/>
              <w:rPr/>
            </w:pPr>
            <w:r w:rsidDel="00000000" w:rsidR="00000000" w:rsidRPr="00000000">
              <w:rPr>
                <w:rtl w:val="0"/>
              </w:rPr>
              <w:t xml:space="preserve">Lutowie bezołowiowe RoHS Tmelt (temperatura przetopu) nie niższa niż 230 ° C</w:t>
            </w:r>
          </w:p>
        </w:tc>
      </w:tr>
      <w:tr>
        <w:trPr>
          <w:trHeight w:val="330" w:hRule="atLeast"/>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spacing w:after="0" w:line="240" w:lineRule="auto"/>
              <w:ind w:hanging="2"/>
              <w:rPr/>
            </w:pPr>
            <w:r w:rsidDel="00000000" w:rsidR="00000000" w:rsidRPr="00000000">
              <w:rPr>
                <w:rtl w:val="0"/>
              </w:rPr>
              <w:t xml:space="preserve">Sposób wykonania połączeń zasilających chłodziarkę</w:t>
            </w:r>
          </w:p>
        </w:tc>
        <w:tc>
          <w:tcPr/>
          <w:p w:rsidR="00000000" w:rsidDel="00000000" w:rsidP="00000000" w:rsidRDefault="00000000" w:rsidRPr="00000000" w14:paraId="0000003D">
            <w:pPr>
              <w:spacing w:after="0" w:line="240" w:lineRule="auto"/>
              <w:ind w:hanging="2"/>
              <w:rPr/>
            </w:pPr>
            <w:r w:rsidDel="00000000" w:rsidR="00000000" w:rsidRPr="00000000">
              <w:rPr>
                <w:rtl w:val="0"/>
              </w:rPr>
              <w:t xml:space="preserve">Nieizolowane druty AWG-30 przylutowane po jednej sztuce do obu wyprowadzeń elektrycznych chłodziarki</w:t>
            </w:r>
          </w:p>
        </w:tc>
      </w:tr>
      <w:tr>
        <w:trPr>
          <w:trHeight w:val="330" w:hRule="atLeast"/>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0">
            <w:pPr>
              <w:spacing w:after="0" w:line="240" w:lineRule="auto"/>
              <w:ind w:hanging="2"/>
              <w:rPr/>
            </w:pPr>
            <w:r w:rsidDel="00000000" w:rsidR="00000000" w:rsidRPr="00000000">
              <w:rPr>
                <w:rtl w:val="0"/>
              </w:rPr>
              <w:t xml:space="preserve">Wymiary górnego stopnia chłodziarki </w:t>
            </w:r>
          </w:p>
        </w:tc>
        <w:tc>
          <w:tcPr/>
          <w:p w:rsidR="00000000" w:rsidDel="00000000" w:rsidP="00000000" w:rsidRDefault="00000000" w:rsidRPr="00000000" w14:paraId="00000041">
            <w:pPr>
              <w:spacing w:after="0" w:line="240" w:lineRule="auto"/>
              <w:ind w:hanging="2"/>
              <w:rPr/>
            </w:pPr>
            <w:r w:rsidDel="00000000" w:rsidR="00000000" w:rsidRPr="00000000">
              <w:rPr>
                <w:rtl w:val="0"/>
              </w:rPr>
              <w:t xml:space="preserve">Nie mniejsze niż 2,5 x 2,5 mm</w:t>
            </w:r>
          </w:p>
        </w:tc>
      </w:tr>
      <w:tr>
        <w:trPr>
          <w:trHeight w:val="330" w:hRule="atLeast"/>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spacing w:after="0" w:line="240" w:lineRule="auto"/>
              <w:ind w:hanging="2"/>
              <w:rPr/>
            </w:pPr>
            <w:r w:rsidDel="00000000" w:rsidR="00000000" w:rsidRPr="00000000">
              <w:rPr>
                <w:rtl w:val="0"/>
              </w:rPr>
              <w:t xml:space="preserve">Wymiary dolnego stopnia chłodziarki</w:t>
            </w:r>
          </w:p>
        </w:tc>
        <w:tc>
          <w:tcPr/>
          <w:p w:rsidR="00000000" w:rsidDel="00000000" w:rsidP="00000000" w:rsidRDefault="00000000" w:rsidRPr="00000000" w14:paraId="00000045">
            <w:pPr>
              <w:spacing w:after="0" w:line="240" w:lineRule="auto"/>
              <w:ind w:hanging="2"/>
              <w:rPr/>
            </w:pPr>
            <w:r w:rsidDel="00000000" w:rsidR="00000000" w:rsidRPr="00000000">
              <w:rPr>
                <w:rtl w:val="0"/>
              </w:rPr>
              <w:t xml:space="preserve">7,4±0,1 mm x 7,4±0,1 mm</w:t>
            </w:r>
          </w:p>
        </w:tc>
      </w:tr>
      <w:tr>
        <w:trPr>
          <w:trHeight w:val="330" w:hRule="atLeast"/>
        </w:trP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8">
            <w:pPr>
              <w:spacing w:after="0" w:line="240" w:lineRule="auto"/>
              <w:ind w:hanging="2"/>
              <w:rPr/>
            </w:pPr>
            <w:r w:rsidDel="00000000" w:rsidR="00000000" w:rsidRPr="00000000">
              <w:rPr>
                <w:rtl w:val="0"/>
              </w:rPr>
              <w:t xml:space="preserve">Wysokość całkowita chłodziarki</w:t>
            </w:r>
          </w:p>
        </w:tc>
        <w:tc>
          <w:tcPr/>
          <w:p w:rsidR="00000000" w:rsidDel="00000000" w:rsidP="00000000" w:rsidRDefault="00000000" w:rsidRPr="00000000" w14:paraId="00000049">
            <w:pPr>
              <w:spacing w:after="0" w:line="240" w:lineRule="auto"/>
              <w:ind w:hanging="2"/>
              <w:rPr/>
            </w:pPr>
            <w:r w:rsidDel="00000000" w:rsidR="00000000" w:rsidRPr="00000000">
              <w:rPr>
                <w:rtl w:val="0"/>
              </w:rPr>
              <w:t xml:space="preserve">6,9±0,25 mm</w:t>
            </w:r>
          </w:p>
        </w:tc>
      </w:tr>
      <w:tr>
        <w:trPr>
          <w:trHeight w:val="20" w:hRule="atLeast"/>
        </w:trPr>
        <w:tc>
          <w:tcPr>
            <w:vMerge w:val="continue"/>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C">
            <w:pPr>
              <w:spacing w:after="0" w:line="240" w:lineRule="auto"/>
              <w:ind w:hanging="2"/>
              <w:rPr/>
            </w:pPr>
            <w:r w:rsidDel="00000000" w:rsidR="00000000" w:rsidRPr="00000000">
              <w:rPr>
                <w:rtl w:val="0"/>
              </w:rPr>
              <w:t xml:space="preserve">ΔTmax (pomiar w próżni, 300K)</w:t>
            </w:r>
          </w:p>
        </w:tc>
        <w:tc>
          <w:tcPr/>
          <w:p w:rsidR="00000000" w:rsidDel="00000000" w:rsidP="00000000" w:rsidRDefault="00000000" w:rsidRPr="00000000" w14:paraId="0000004D">
            <w:pPr>
              <w:spacing w:after="0" w:line="240" w:lineRule="auto"/>
              <w:ind w:hanging="2"/>
              <w:rPr/>
            </w:pPr>
            <w:r w:rsidDel="00000000" w:rsidR="00000000" w:rsidRPr="00000000">
              <w:rPr>
                <w:rtl w:val="0"/>
              </w:rPr>
              <w:t xml:space="preserve">Nie mniejsze niż 125 K</w:t>
            </w:r>
          </w:p>
        </w:tc>
      </w:tr>
      <w:tr>
        <w:trPr>
          <w:trHeight w:val="20" w:hRule="atLeast"/>
        </w:trPr>
        <w:tc>
          <w:tcPr>
            <w:vMerge w:val="continue"/>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0">
            <w:pPr>
              <w:spacing w:after="0" w:line="240" w:lineRule="auto"/>
              <w:ind w:hanging="2"/>
              <w:rPr/>
            </w:pPr>
            <w:r w:rsidDel="00000000" w:rsidR="00000000" w:rsidRPr="00000000">
              <w:rPr>
                <w:rtl w:val="0"/>
              </w:rPr>
              <w:t xml:space="preserve">Qmax (pomiar w próżni, 300K)</w:t>
            </w:r>
          </w:p>
        </w:tc>
        <w:tc>
          <w:tcPr/>
          <w:p w:rsidR="00000000" w:rsidDel="00000000" w:rsidP="00000000" w:rsidRDefault="00000000" w:rsidRPr="00000000" w14:paraId="00000051">
            <w:pPr>
              <w:spacing w:after="0" w:line="240" w:lineRule="auto"/>
              <w:ind w:hanging="2"/>
              <w:rPr/>
            </w:pPr>
            <w:r w:rsidDel="00000000" w:rsidR="00000000" w:rsidRPr="00000000">
              <w:rPr>
                <w:rtl w:val="0"/>
              </w:rPr>
              <w:t xml:space="preserve">Nie mniejsze niż 0,28 W</w:t>
            </w:r>
          </w:p>
        </w:tc>
      </w:tr>
      <w:tr>
        <w:trPr>
          <w:trHeight w:val="20" w:hRule="atLeast"/>
        </w:trPr>
        <w:tc>
          <w:tcPr>
            <w:vMerge w:val="continue"/>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4">
            <w:pPr>
              <w:spacing w:after="0" w:line="240" w:lineRule="auto"/>
              <w:ind w:hanging="2"/>
              <w:rPr/>
            </w:pPr>
            <w:r w:rsidDel="00000000" w:rsidR="00000000" w:rsidRPr="00000000">
              <w:rPr>
                <w:rtl w:val="0"/>
              </w:rPr>
              <w:t xml:space="preserve">Imax (pomiar w próżni, 300K)</w:t>
            </w:r>
          </w:p>
        </w:tc>
        <w:tc>
          <w:tcPr/>
          <w:p w:rsidR="00000000" w:rsidDel="00000000" w:rsidP="00000000" w:rsidRDefault="00000000" w:rsidRPr="00000000" w14:paraId="00000055">
            <w:pPr>
              <w:spacing w:after="0" w:line="240" w:lineRule="auto"/>
              <w:ind w:hanging="2"/>
              <w:rPr/>
            </w:pPr>
            <w:r w:rsidDel="00000000" w:rsidR="00000000" w:rsidRPr="00000000">
              <w:rPr>
                <w:rtl w:val="0"/>
              </w:rPr>
              <w:t xml:space="preserve">0,5±0,05 A</w:t>
            </w:r>
          </w:p>
        </w:tc>
      </w:tr>
      <w:tr>
        <w:trPr>
          <w:trHeight w:val="20" w:hRule="atLeast"/>
        </w:trPr>
        <w:tc>
          <w:tcPr>
            <w:vMerge w:val="continue"/>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8">
            <w:pPr>
              <w:spacing w:after="0" w:line="240" w:lineRule="auto"/>
              <w:ind w:hanging="2"/>
              <w:rPr/>
            </w:pPr>
            <w:r w:rsidDel="00000000" w:rsidR="00000000" w:rsidRPr="00000000">
              <w:rPr>
                <w:rtl w:val="0"/>
              </w:rPr>
              <w:t xml:space="preserve">Umax (pomiar w próżni, 300K)</w:t>
            </w:r>
          </w:p>
        </w:tc>
        <w:tc>
          <w:tcPr/>
          <w:p w:rsidR="00000000" w:rsidDel="00000000" w:rsidP="00000000" w:rsidRDefault="00000000" w:rsidRPr="00000000" w14:paraId="00000059">
            <w:pPr>
              <w:spacing w:after="0" w:line="240" w:lineRule="auto"/>
              <w:ind w:hanging="2"/>
              <w:rPr/>
            </w:pPr>
            <w:r w:rsidDel="00000000" w:rsidR="00000000" w:rsidRPr="00000000">
              <w:rPr>
                <w:rtl w:val="0"/>
              </w:rPr>
              <w:t xml:space="preserve">8,4±0,8 V</w:t>
            </w:r>
          </w:p>
        </w:tc>
      </w:tr>
      <w:tr>
        <w:trPr>
          <w:trHeight w:val="20" w:hRule="atLeast"/>
        </w:trPr>
        <w:tc>
          <w:tcPr>
            <w:vMerge w:val="continue"/>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5B">
            <w:pPr>
              <w:widowControl w:val="0"/>
              <w:spacing w:after="0" w:line="240" w:lineRule="auto"/>
              <w:ind w:hanging="2"/>
              <w:rPr/>
            </w:pPr>
            <w:r w:rsidDel="00000000" w:rsidR="00000000" w:rsidRPr="00000000">
              <w:rPr>
                <w:rtl w:val="0"/>
              </w:rPr>
              <w:t xml:space="preserve">Parametry podstawki TO-8 12-pin</w:t>
            </w:r>
          </w:p>
        </w:tc>
        <w:tc>
          <w:tcPr>
            <w:tcMar>
              <w:top w:w="55.0" w:type="dxa"/>
              <w:left w:w="55.0" w:type="dxa"/>
              <w:bottom w:w="55.0" w:type="dxa"/>
              <w:right w:w="55.0" w:type="dxa"/>
            </w:tcMar>
          </w:tcPr>
          <w:p w:rsidR="00000000" w:rsidDel="00000000" w:rsidP="00000000" w:rsidRDefault="00000000" w:rsidRPr="00000000" w14:paraId="0000005C">
            <w:pPr>
              <w:spacing w:after="0" w:line="240" w:lineRule="auto"/>
              <w:ind w:hanging="2"/>
              <w:rPr/>
            </w:pPr>
            <w:r w:rsidDel="00000000" w:rsidR="00000000" w:rsidRPr="00000000">
              <w:rPr>
                <w:rtl w:val="0"/>
              </w:rPr>
              <w:t xml:space="preserve">Typ podstawki</w:t>
            </w:r>
          </w:p>
        </w:tc>
        <w:tc>
          <w:tcPr/>
          <w:p w:rsidR="00000000" w:rsidDel="00000000" w:rsidP="00000000" w:rsidRDefault="00000000" w:rsidRPr="00000000" w14:paraId="0000005D">
            <w:pPr>
              <w:spacing w:after="0" w:line="240" w:lineRule="auto"/>
              <w:ind w:hanging="2"/>
              <w:rPr/>
            </w:pPr>
            <w:r w:rsidDel="00000000" w:rsidR="00000000" w:rsidRPr="00000000">
              <w:rPr>
                <w:rtl w:val="0"/>
              </w:rPr>
              <w:t xml:space="preserve">TO8</w:t>
            </w:r>
          </w:p>
        </w:tc>
      </w:tr>
      <w:tr>
        <w:trPr>
          <w:trHeight w:val="20" w:hRule="atLeast"/>
        </w:trPr>
        <w:tc>
          <w:tcPr>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0">
            <w:pPr>
              <w:spacing w:after="0" w:line="240" w:lineRule="auto"/>
              <w:ind w:hanging="2"/>
              <w:rPr/>
            </w:pPr>
            <w:r w:rsidDel="00000000" w:rsidR="00000000" w:rsidRPr="00000000">
              <w:rPr>
                <w:rtl w:val="0"/>
              </w:rPr>
              <w:t xml:space="preserve">Ilość wyprowadzeń elektrycznych</w:t>
            </w:r>
          </w:p>
        </w:tc>
        <w:tc>
          <w:tcPr/>
          <w:p w:rsidR="00000000" w:rsidDel="00000000" w:rsidP="00000000" w:rsidRDefault="00000000" w:rsidRPr="00000000" w14:paraId="00000061">
            <w:pPr>
              <w:spacing w:after="0" w:line="240" w:lineRule="auto"/>
              <w:ind w:hanging="2"/>
              <w:rPr/>
            </w:pPr>
            <w:r w:rsidDel="00000000" w:rsidR="00000000" w:rsidRPr="00000000">
              <w:rPr>
                <w:rtl w:val="0"/>
              </w:rPr>
              <w:t xml:space="preserve">12 pin, w tym 1 pin masowy (pin 11)</w:t>
            </w:r>
          </w:p>
        </w:tc>
      </w:tr>
      <w:tr>
        <w:trPr>
          <w:trHeight w:val="20" w:hRule="atLeast"/>
        </w:trPr>
        <w:tc>
          <w:tcPr>
            <w:vMerge w:val="continue"/>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4">
            <w:pPr>
              <w:spacing w:after="0" w:line="240" w:lineRule="auto"/>
              <w:ind w:hanging="2"/>
              <w:rPr/>
            </w:pPr>
            <w:r w:rsidDel="00000000" w:rsidR="00000000" w:rsidRPr="00000000">
              <w:rPr>
                <w:rtl w:val="0"/>
              </w:rPr>
              <w:t xml:space="preserve">Materiał podstawki</w:t>
            </w:r>
          </w:p>
        </w:tc>
        <w:tc>
          <w:tcPr/>
          <w:p w:rsidR="00000000" w:rsidDel="00000000" w:rsidP="00000000" w:rsidRDefault="00000000" w:rsidRPr="00000000" w14:paraId="00000065">
            <w:pPr>
              <w:spacing w:after="0" w:line="240" w:lineRule="auto"/>
              <w:ind w:hanging="2"/>
              <w:rPr/>
            </w:pPr>
            <w:r w:rsidDel="00000000" w:rsidR="00000000" w:rsidRPr="00000000">
              <w:rPr>
                <w:rtl w:val="0"/>
              </w:rPr>
              <w:t xml:space="preserve">Kovar (stop zgodny z ASTM F-15)</w:t>
            </w:r>
          </w:p>
        </w:tc>
      </w:tr>
      <w:tr>
        <w:trPr>
          <w:trHeight w:val="360" w:hRule="atLeast"/>
        </w:trPr>
        <w:tc>
          <w:tcPr>
            <w:vMerge w:val="continue"/>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8">
            <w:pPr>
              <w:spacing w:after="0" w:line="240" w:lineRule="auto"/>
              <w:ind w:hanging="2"/>
              <w:rPr/>
            </w:pPr>
            <w:r w:rsidDel="00000000" w:rsidR="00000000" w:rsidRPr="00000000">
              <w:rPr>
                <w:rtl w:val="0"/>
              </w:rPr>
              <w:t xml:space="preserve">Metalizacja podstawki</w:t>
            </w:r>
          </w:p>
        </w:tc>
        <w:tc>
          <w:tcPr/>
          <w:p w:rsidR="00000000" w:rsidDel="00000000" w:rsidP="00000000" w:rsidRDefault="00000000" w:rsidRPr="00000000" w14:paraId="00000069">
            <w:pPr>
              <w:numPr>
                <w:ilvl w:val="0"/>
                <w:numId w:val="1"/>
              </w:numPr>
              <w:spacing w:after="0" w:line="240" w:lineRule="auto"/>
              <w:ind w:left="360" w:hanging="2.0000000000000284"/>
              <w:rPr/>
            </w:pPr>
            <w:r w:rsidDel="00000000" w:rsidR="00000000" w:rsidRPr="00000000">
              <w:rPr>
                <w:rtl w:val="0"/>
              </w:rPr>
              <w:t xml:space="preserve">Warstwa Ni – grubość metalizacji 1,27-3,8 μm </w:t>
            </w:r>
          </w:p>
          <w:p w:rsidR="00000000" w:rsidDel="00000000" w:rsidP="00000000" w:rsidRDefault="00000000" w:rsidRPr="00000000" w14:paraId="0000006A">
            <w:pPr>
              <w:numPr>
                <w:ilvl w:val="0"/>
                <w:numId w:val="1"/>
              </w:numPr>
              <w:spacing w:after="0" w:line="240" w:lineRule="auto"/>
              <w:ind w:left="360" w:hanging="2.0000000000000284"/>
              <w:rPr/>
            </w:pPr>
            <w:r w:rsidDel="00000000" w:rsidR="00000000" w:rsidRPr="00000000">
              <w:rPr>
                <w:rtl w:val="0"/>
              </w:rPr>
              <w:t xml:space="preserve">Warstwa Au – grubość metalizacji &gt;1,27 μm</w:t>
            </w:r>
          </w:p>
        </w:tc>
      </w:tr>
      <w:tr>
        <w:trPr>
          <w:trHeight w:val="20" w:hRule="atLeast"/>
        </w:trPr>
        <w:tc>
          <w:tcPr>
            <w:vMerge w:val="continue"/>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D">
            <w:pPr>
              <w:spacing w:after="0" w:line="240" w:lineRule="auto"/>
              <w:ind w:hanging="2"/>
              <w:rPr/>
            </w:pPr>
            <w:r w:rsidDel="00000000" w:rsidR="00000000" w:rsidRPr="00000000">
              <w:rPr>
                <w:rtl w:val="0"/>
              </w:rPr>
              <w:t xml:space="preserve">Materiał pinów</w:t>
            </w:r>
          </w:p>
        </w:tc>
        <w:tc>
          <w:tcPr/>
          <w:p w:rsidR="00000000" w:rsidDel="00000000" w:rsidP="00000000" w:rsidRDefault="00000000" w:rsidRPr="00000000" w14:paraId="0000006E">
            <w:pPr>
              <w:spacing w:after="0" w:line="240" w:lineRule="auto"/>
              <w:ind w:hanging="2"/>
              <w:rPr/>
            </w:pPr>
            <w:r w:rsidDel="00000000" w:rsidR="00000000" w:rsidRPr="00000000">
              <w:rPr>
                <w:rtl w:val="0"/>
              </w:rPr>
              <w:t xml:space="preserve">Kovar (stop zgodny z ASTM F-15)</w:t>
            </w:r>
          </w:p>
        </w:tc>
      </w:tr>
      <w:tr>
        <w:trPr>
          <w:trHeight w:val="585" w:hRule="atLeast"/>
        </w:trPr>
        <w:tc>
          <w:tcPr>
            <w:vMerge w:val="continue"/>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1">
            <w:pPr>
              <w:spacing w:after="0" w:line="240" w:lineRule="auto"/>
              <w:ind w:hanging="2"/>
              <w:rPr/>
            </w:pPr>
            <w:r w:rsidDel="00000000" w:rsidR="00000000" w:rsidRPr="00000000">
              <w:rPr>
                <w:rtl w:val="0"/>
              </w:rPr>
              <w:t xml:space="preserve">Metalizacja pinów</w:t>
            </w:r>
          </w:p>
        </w:tc>
        <w:tc>
          <w:tcPr/>
          <w:p w:rsidR="00000000" w:rsidDel="00000000" w:rsidP="00000000" w:rsidRDefault="00000000" w:rsidRPr="00000000" w14:paraId="00000072">
            <w:pPr>
              <w:numPr>
                <w:ilvl w:val="0"/>
                <w:numId w:val="5"/>
              </w:numPr>
              <w:spacing w:after="0" w:line="240" w:lineRule="auto"/>
              <w:ind w:left="360" w:hanging="2.0000000000000284"/>
              <w:rPr/>
            </w:pPr>
            <w:r w:rsidDel="00000000" w:rsidR="00000000" w:rsidRPr="00000000">
              <w:rPr>
                <w:rtl w:val="0"/>
              </w:rPr>
              <w:t xml:space="preserve">Warstwa Ni – grubość metalizacji 1,27-3,8 μm </w:t>
            </w:r>
          </w:p>
          <w:p w:rsidR="00000000" w:rsidDel="00000000" w:rsidP="00000000" w:rsidRDefault="00000000" w:rsidRPr="00000000" w14:paraId="00000073">
            <w:pPr>
              <w:numPr>
                <w:ilvl w:val="0"/>
                <w:numId w:val="5"/>
              </w:numPr>
              <w:spacing w:after="0" w:line="240" w:lineRule="auto"/>
              <w:ind w:left="360" w:hanging="2.0000000000000284"/>
              <w:rPr/>
            </w:pPr>
            <w:r w:rsidDel="00000000" w:rsidR="00000000" w:rsidRPr="00000000">
              <w:rPr>
                <w:rtl w:val="0"/>
              </w:rPr>
              <w:t xml:space="preserve">Warstwa Au – grubość metalizacji &gt;1,27 μm</w:t>
            </w:r>
          </w:p>
        </w:tc>
      </w:tr>
      <w:tr>
        <w:trPr>
          <w:trHeight w:val="20" w:hRule="atLeast"/>
        </w:trPr>
        <w:tc>
          <w:tcPr>
            <w:vMerge w:val="continue"/>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6">
            <w:pPr>
              <w:spacing w:after="0" w:line="240" w:lineRule="auto"/>
              <w:ind w:hanging="2"/>
              <w:rPr/>
            </w:pPr>
            <w:r w:rsidDel="00000000" w:rsidR="00000000" w:rsidRPr="00000000">
              <w:rPr>
                <w:rtl w:val="0"/>
              </w:rPr>
              <w:t xml:space="preserve">Śruba montująca</w:t>
            </w:r>
          </w:p>
        </w:tc>
        <w:tc>
          <w:tcPr/>
          <w:p w:rsidR="00000000" w:rsidDel="00000000" w:rsidP="00000000" w:rsidRDefault="00000000" w:rsidRPr="00000000" w14:paraId="00000077">
            <w:pPr>
              <w:spacing w:after="0" w:line="240" w:lineRule="auto"/>
              <w:ind w:hanging="2"/>
              <w:rPr/>
            </w:pPr>
            <w:r w:rsidDel="00000000" w:rsidR="00000000" w:rsidRPr="00000000">
              <w:rPr>
                <w:rtl w:val="0"/>
              </w:rPr>
              <w:t xml:space="preserve">Materiał śruby – CRS (cold rolled steel)</w:t>
            </w:r>
          </w:p>
          <w:p w:rsidR="00000000" w:rsidDel="00000000" w:rsidP="00000000" w:rsidRDefault="00000000" w:rsidRPr="00000000" w14:paraId="00000078">
            <w:pPr>
              <w:spacing w:after="0" w:line="240" w:lineRule="auto"/>
              <w:ind w:hanging="2"/>
              <w:rPr/>
            </w:pPr>
            <w:r w:rsidDel="00000000" w:rsidR="00000000" w:rsidRPr="00000000">
              <w:rPr>
                <w:rtl w:val="0"/>
              </w:rPr>
              <w:t xml:space="preserve">Gwint śruby – 4-40 UNC</w:t>
            </w:r>
          </w:p>
          <w:p w:rsidR="00000000" w:rsidDel="00000000" w:rsidP="00000000" w:rsidRDefault="00000000" w:rsidRPr="00000000" w14:paraId="00000079">
            <w:pPr>
              <w:spacing w:after="0" w:line="240" w:lineRule="auto"/>
              <w:ind w:hanging="2"/>
              <w:rPr/>
            </w:pPr>
            <w:r w:rsidDel="00000000" w:rsidR="00000000" w:rsidRPr="00000000">
              <w:rPr>
                <w:rtl w:val="0"/>
              </w:rPr>
              <w:t xml:space="preserve">Długość śruby – 6,4±0,4 mm</w:t>
            </w:r>
          </w:p>
        </w:tc>
      </w:tr>
      <w:tr>
        <w:trPr>
          <w:trHeight w:val="375" w:hRule="atLeast"/>
        </w:trPr>
        <w:tc>
          <w:tcPr>
            <w:vMerge w:val="continue"/>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C">
            <w:pPr>
              <w:spacing w:after="0" w:line="240" w:lineRule="auto"/>
              <w:ind w:hanging="2"/>
              <w:rPr/>
            </w:pPr>
            <w:r w:rsidDel="00000000" w:rsidR="00000000" w:rsidRPr="00000000">
              <w:rPr>
                <w:rtl w:val="0"/>
              </w:rPr>
              <w:t xml:space="preserve">Uszczelnienie przepustów podstawki </w:t>
            </w:r>
          </w:p>
        </w:tc>
        <w:tc>
          <w:tcPr/>
          <w:p w:rsidR="00000000" w:rsidDel="00000000" w:rsidP="00000000" w:rsidRDefault="00000000" w:rsidRPr="00000000" w14:paraId="0000007D">
            <w:pPr>
              <w:spacing w:after="0" w:line="240" w:lineRule="auto"/>
              <w:ind w:hanging="2"/>
              <w:rPr/>
            </w:pPr>
            <w:r w:rsidDel="00000000" w:rsidR="00000000" w:rsidRPr="00000000">
              <w:rPr>
                <w:rtl w:val="0"/>
              </w:rPr>
              <w:t xml:space="preserve">Nieprzewodzące elektryczne, nieprzeźroczyste, wykazujące naciek mniejszy niż 10^-8 mbar*l/s – na przykład Corning 7052 lub równoważne</w:t>
            </w:r>
          </w:p>
        </w:tc>
      </w:tr>
      <w:tr>
        <w:trPr>
          <w:trHeight w:val="390" w:hRule="atLeast"/>
        </w:trPr>
        <w:tc>
          <w:tcPr>
            <w:vMerge w:val="continue"/>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0">
            <w:pPr>
              <w:spacing w:after="0" w:line="240" w:lineRule="auto"/>
              <w:ind w:hanging="2"/>
              <w:rPr/>
            </w:pPr>
            <w:r w:rsidDel="00000000" w:rsidR="00000000" w:rsidRPr="00000000">
              <w:rPr>
                <w:rtl w:val="0"/>
              </w:rPr>
              <w:t xml:space="preserve">Zewnętrzna długość pinów (od powierzchni z zamontowanym gwintem)</w:t>
            </w:r>
          </w:p>
        </w:tc>
        <w:tc>
          <w:tcPr/>
          <w:p w:rsidR="00000000" w:rsidDel="00000000" w:rsidP="00000000" w:rsidRDefault="00000000" w:rsidRPr="00000000" w14:paraId="00000081">
            <w:pPr>
              <w:spacing w:after="0" w:line="240" w:lineRule="auto"/>
              <w:ind w:hanging="2"/>
              <w:rPr/>
            </w:pPr>
            <w:r w:rsidDel="00000000" w:rsidR="00000000" w:rsidRPr="00000000">
              <w:rPr>
                <w:rtl w:val="0"/>
              </w:rPr>
              <w:t xml:space="preserve">7,9±0,25 mm</w:t>
            </w:r>
          </w:p>
        </w:tc>
      </w:tr>
      <w:tr>
        <w:trPr>
          <w:trHeight w:val="375" w:hRule="atLeast"/>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4">
            <w:pPr>
              <w:spacing w:after="0" w:line="240" w:lineRule="auto"/>
              <w:ind w:hanging="2"/>
              <w:rPr/>
            </w:pPr>
            <w:r w:rsidDel="00000000" w:rsidR="00000000" w:rsidRPr="00000000">
              <w:rPr>
                <w:rtl w:val="0"/>
              </w:rPr>
              <w:t xml:space="preserve">Wewnętrzna długość pinów (liczona od powierzchni montażu chłodziarki)</w:t>
            </w:r>
          </w:p>
        </w:tc>
        <w:tc>
          <w:tcPr/>
          <w:p w:rsidR="00000000" w:rsidDel="00000000" w:rsidP="00000000" w:rsidRDefault="00000000" w:rsidRPr="00000000" w14:paraId="00000085">
            <w:pPr>
              <w:spacing w:after="0" w:line="240" w:lineRule="auto"/>
              <w:ind w:hanging="2"/>
              <w:rPr/>
            </w:pPr>
            <w:r w:rsidDel="00000000" w:rsidR="00000000" w:rsidRPr="00000000">
              <w:rPr>
                <w:rtl w:val="0"/>
              </w:rPr>
              <w:t xml:space="preserve">2±0,1 mm</w:t>
            </w:r>
          </w:p>
        </w:tc>
      </w:tr>
      <w:tr>
        <w:trPr>
          <w:trHeight w:val="375" w:hRule="atLeast"/>
        </w:trPr>
        <w:tc>
          <w:tcPr>
            <w:vMerge w:val="continue"/>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87">
            <w:pPr>
              <w:widowControl w:val="0"/>
              <w:spacing w:after="0" w:line="240" w:lineRule="auto"/>
              <w:ind w:hanging="2"/>
              <w:rPr/>
            </w:pPr>
            <w:r w:rsidDel="00000000" w:rsidR="00000000" w:rsidRPr="00000000">
              <w:rPr>
                <w:rtl w:val="0"/>
              </w:rPr>
              <w:t xml:space="preserve">Właściwości zestawu chłodziarka na podstawce</w:t>
            </w:r>
          </w:p>
        </w:tc>
        <w:tc>
          <w:tcPr>
            <w:tcMar>
              <w:top w:w="55.0" w:type="dxa"/>
              <w:left w:w="55.0" w:type="dxa"/>
              <w:bottom w:w="55.0" w:type="dxa"/>
              <w:right w:w="55.0" w:type="dxa"/>
            </w:tcMar>
          </w:tcPr>
          <w:p w:rsidR="00000000" w:rsidDel="00000000" w:rsidP="00000000" w:rsidRDefault="00000000" w:rsidRPr="00000000" w14:paraId="00000088">
            <w:pPr>
              <w:spacing w:after="0" w:line="240" w:lineRule="auto"/>
              <w:ind w:hanging="2"/>
              <w:rPr/>
            </w:pPr>
            <w:r w:rsidDel="00000000" w:rsidR="00000000" w:rsidRPr="00000000">
              <w:rPr>
                <w:rtl w:val="0"/>
              </w:rPr>
              <w:t xml:space="preserve">Materiał łączący chłodziarkę z podstawką</w:t>
            </w:r>
          </w:p>
        </w:tc>
        <w:tc>
          <w:tcPr/>
          <w:p w:rsidR="00000000" w:rsidDel="00000000" w:rsidP="00000000" w:rsidRDefault="00000000" w:rsidRPr="00000000" w14:paraId="00000089">
            <w:pPr>
              <w:spacing w:after="0" w:line="240" w:lineRule="auto"/>
              <w:ind w:hanging="2"/>
              <w:rPr/>
            </w:pPr>
            <w:r w:rsidDel="00000000" w:rsidR="00000000" w:rsidRPr="00000000">
              <w:rPr>
                <w:rtl w:val="0"/>
              </w:rPr>
              <w:t xml:space="preserve">Lutowie bezołowiowe RoHS o temperaturze przetopu &gt;200C</w:t>
            </w:r>
          </w:p>
        </w:tc>
      </w:tr>
      <w:tr>
        <w:trPr>
          <w:trHeight w:val="375" w:hRule="atLeast"/>
        </w:trPr>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C">
            <w:pPr>
              <w:spacing w:after="0" w:line="240" w:lineRule="auto"/>
              <w:ind w:hanging="2"/>
              <w:rPr/>
            </w:pPr>
            <w:r w:rsidDel="00000000" w:rsidR="00000000" w:rsidRPr="00000000">
              <w:rPr>
                <w:rtl w:val="0"/>
              </w:rPr>
              <w:t xml:space="preserve">Sposób wykonania połączeń elektrycznych</w:t>
            </w:r>
          </w:p>
        </w:tc>
        <w:tc>
          <w:tcPr/>
          <w:p w:rsidR="00000000" w:rsidDel="00000000" w:rsidP="00000000" w:rsidRDefault="00000000" w:rsidRPr="00000000" w14:paraId="0000008D">
            <w:pPr>
              <w:spacing w:after="0" w:line="240" w:lineRule="auto"/>
              <w:ind w:hanging="2"/>
              <w:rPr/>
            </w:pPr>
            <w:r w:rsidDel="00000000" w:rsidR="00000000" w:rsidRPr="00000000">
              <w:rPr>
                <w:rtl w:val="0"/>
              </w:rPr>
              <w:t xml:space="preserve">Druty zasilające chłodziarki przylutowane do pinów podstawki o numerach 2 i 8</w:t>
            </w:r>
          </w:p>
          <w:p w:rsidR="00000000" w:rsidDel="00000000" w:rsidP="00000000" w:rsidRDefault="00000000" w:rsidRPr="00000000" w14:paraId="0000008E">
            <w:pPr>
              <w:spacing w:after="0" w:line="240" w:lineRule="auto"/>
              <w:ind w:hanging="2"/>
              <w:rPr/>
            </w:pPr>
            <w:r w:rsidDel="00000000" w:rsidR="00000000" w:rsidRPr="00000000">
              <w:rPr>
                <w:rtl w:val="0"/>
              </w:rPr>
              <w:t xml:space="preserve">Lutowie bezołowiowe RoHS o temperaturze przetopu &gt;200C</w:t>
            </w:r>
          </w:p>
        </w:tc>
      </w:tr>
      <w:tr>
        <w:trPr>
          <w:trHeight w:val="420" w:hRule="atLeast"/>
        </w:trPr>
        <w:tc>
          <w:tcPr>
            <w:vMerge w:val="continue"/>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1">
            <w:pPr>
              <w:spacing w:after="0" w:line="240" w:lineRule="auto"/>
              <w:ind w:hanging="2"/>
              <w:rPr/>
            </w:pPr>
            <w:r w:rsidDel="00000000" w:rsidR="00000000" w:rsidRPr="00000000">
              <w:rPr>
                <w:rtl w:val="0"/>
              </w:rPr>
              <w:t xml:space="preserve">Tolerancja położenia chłodziarki po montażu</w:t>
            </w:r>
          </w:p>
        </w:tc>
        <w:tc>
          <w:tcPr/>
          <w:p w:rsidR="00000000" w:rsidDel="00000000" w:rsidP="00000000" w:rsidRDefault="00000000" w:rsidRPr="00000000" w14:paraId="00000092">
            <w:pPr>
              <w:spacing w:after="0" w:line="240" w:lineRule="auto"/>
              <w:ind w:hanging="2"/>
              <w:rPr/>
            </w:pPr>
            <w:r w:rsidDel="00000000" w:rsidR="00000000" w:rsidRPr="00000000">
              <w:rPr>
                <w:rtl w:val="0"/>
              </w:rPr>
              <w:t xml:space="preserve">Błąd położenia środka górnej ceramiki chłodziarki względem osi wyznaczonej przez rant podstawki o średnicy 13,4 mm nie większy niż 200 μm </w:t>
            </w:r>
          </w:p>
        </w:tc>
      </w:tr>
      <w:tr>
        <w:trPr>
          <w:trHeight w:val="450" w:hRule="atLeast"/>
        </w:trPr>
        <w:tc>
          <w:tcPr>
            <w:vMerge w:val="continue"/>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5">
            <w:pPr>
              <w:spacing w:after="0" w:line="240" w:lineRule="auto"/>
              <w:ind w:hanging="2"/>
              <w:rPr/>
            </w:pPr>
            <w:r w:rsidDel="00000000" w:rsidR="00000000" w:rsidRPr="00000000">
              <w:rPr>
                <w:rtl w:val="0"/>
              </w:rPr>
              <w:t xml:space="preserve">ACR (chłodziarka zamontowana do podstawki, pomiar w próżni, 300K)</w:t>
            </w:r>
          </w:p>
        </w:tc>
        <w:tc>
          <w:tcPr/>
          <w:p w:rsidR="00000000" w:rsidDel="00000000" w:rsidP="00000000" w:rsidRDefault="00000000" w:rsidRPr="00000000" w14:paraId="00000096">
            <w:pPr>
              <w:spacing w:after="0" w:line="240" w:lineRule="auto"/>
              <w:ind w:hanging="2"/>
              <w:rPr/>
            </w:pPr>
            <w:r w:rsidDel="00000000" w:rsidR="00000000" w:rsidRPr="00000000">
              <w:rPr>
                <w:rtl w:val="0"/>
              </w:rPr>
              <w:t xml:space="preserve">14,9±1,5 Ω</w:t>
            </w:r>
          </w:p>
        </w:tc>
      </w:tr>
    </w:tbl>
    <w:p w:rsidR="00000000" w:rsidDel="00000000" w:rsidP="00000000" w:rsidRDefault="00000000" w:rsidRPr="00000000" w14:paraId="00000097">
      <w:pPr>
        <w:spacing w:after="0" w:line="360" w:lineRule="auto"/>
        <w:rPr/>
      </w:pPr>
      <w:r w:rsidDel="00000000" w:rsidR="00000000" w:rsidRPr="00000000">
        <w:rPr>
          <w:rtl w:val="0"/>
        </w:rPr>
      </w:r>
    </w:p>
    <w:p w:rsidR="00000000" w:rsidDel="00000000" w:rsidP="00000000" w:rsidRDefault="00000000" w:rsidRPr="00000000" w14:paraId="00000098">
      <w:pPr>
        <w:spacing w:after="0" w:line="360" w:lineRule="auto"/>
        <w:ind w:left="360" w:firstLine="0"/>
        <w:rPr>
          <w:b w:val="1"/>
          <w:u w:val="single"/>
        </w:rPr>
      </w:pPr>
      <w:r w:rsidDel="00000000" w:rsidR="00000000" w:rsidRPr="00000000">
        <w:rPr>
          <w:b w:val="1"/>
          <w:u w:val="single"/>
          <w:rtl w:val="0"/>
        </w:rPr>
        <w:t xml:space="preserve">5.2 Szczegółowy zakres metalizacji chłodziarki</w:t>
      </w:r>
    </w:p>
    <w:p w:rsidR="00000000" w:rsidDel="00000000" w:rsidP="00000000" w:rsidRDefault="00000000" w:rsidRPr="00000000" w14:paraId="00000099">
      <w:pPr>
        <w:spacing w:after="0" w:line="360" w:lineRule="auto"/>
        <w:ind w:left="360" w:firstLine="0"/>
        <w:rPr/>
      </w:pPr>
      <w:r w:rsidDel="00000000" w:rsidR="00000000" w:rsidRPr="00000000">
        <w:rPr>
          <w:rtl w:val="0"/>
        </w:rPr>
        <w:t xml:space="preserve">Załącznik 1.A  - Metallization of the TEC</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0" w:type="dxa"/>
        <w:left w:w="70.0" w:type="dxa"/>
        <w:bottom w:w="28.0" w:type="dxa"/>
        <w:right w:w="70.0" w:type="dxa"/>
      </w:tblCellMar>
    </w:tblPr>
  </w:style>
  <w:style w:type="table" w:styleId="a0" w:customStyle="1">
    <w:basedOn w:val="TableNormal"/>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894AF5"/>
    <w:pPr>
      <w:ind w:left="720"/>
      <w:contextualSpacing w:val="1"/>
    </w:pPr>
  </w:style>
  <w:style w:type="paragraph" w:styleId="Tekstprzypisukocowego">
    <w:name w:val="endnote text"/>
    <w:basedOn w:val="Normalny"/>
    <w:link w:val="TekstprzypisukocowegoZnak"/>
    <w:uiPriority w:val="99"/>
    <w:semiHidden w:val="1"/>
    <w:unhideWhenUsed w:val="1"/>
    <w:rsid w:val="006252C5"/>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6252C5"/>
    <w:rPr>
      <w:sz w:val="20"/>
      <w:szCs w:val="20"/>
    </w:rPr>
  </w:style>
  <w:style w:type="character" w:styleId="Odwoanieprzypisukocowego">
    <w:name w:val="endnote reference"/>
    <w:basedOn w:val="Domylnaczcionkaakapitu"/>
    <w:uiPriority w:val="99"/>
    <w:semiHidden w:val="1"/>
    <w:unhideWhenUsed w:val="1"/>
    <w:rsid w:val="006252C5"/>
    <w:rPr>
      <w:vertAlign w:val="superscript"/>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CH5YHFIOPspR77G8vNlrv7EIw==">AMUW2mVlYYMR3FDGNsUnV/QcQJa5xF9TFPx07kS73QDr8YLXyVttVqihnSXZdtL6G4mHTf4W+TLh225/R39jonskn7r6CmKB5KX4Eu1sHJyWIr6A58xcLzg96A88mS0HsJpJgziE5HRxMPfhxmuoRsvC3zwsrMflMQ==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2021-03-26T13:41:00Z</dcterms:created>
  <dc:creator>Przemysław Ropelewski</dc:creator>
</cp:coreProperties>
</file>