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8 December 2020, NUMBER TSM-WS/3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submitting an offer and represent ………………………………………… .. [•] in the procurement procedure: Inquiry no. of</w:t>
      </w:r>
      <w:r w:rsidDel="00000000" w:rsidR="00000000" w:rsidRPr="00000000">
        <w:rPr>
          <w:rtl w:val="0"/>
        </w:rPr>
        <w:t xml:space="preserve"> 8 December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 NUMBER </w:t>
      </w:r>
      <w:r w:rsidDel="00000000" w:rsidR="00000000" w:rsidRPr="00000000">
        <w:rPr>
          <w:rtl w:val="0"/>
        </w:rPr>
        <w:t xml:space="preserve">TSM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-485139</wp:posOffset>
          </wp:positionH>
          <wp:positionV relativeFrom="paragraph">
            <wp:posOffset>-76199</wp:posOffset>
          </wp:positionV>
          <wp:extent cx="6472555" cy="765175"/>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3Z3hCrsrgFZvqtQQnh8M60ZWMA==">AMUW2mUuavkpBWuOWDsgevmWoMJEQfzCKg/rC7oRuhIjA8ztqrmhKkqqYXSsQu9htRWJV16D/43snff9FKHjPhLopHVJw1Bzsu0z/ke5kLc1gp1QeJEzYNY=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