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DESCRIPTION OF THE SUBJECT MATTER OF THE CONTRACT</w:t>
      </w:r>
    </w:p>
    <w:p w:rsidR="00000000" w:rsidDel="00000000" w:rsidP="00000000" w:rsidRDefault="00000000" w:rsidRPr="00000000" w14:paraId="00000002">
      <w:pPr>
        <w:spacing w:after="0" w:before="100" w:line="360" w:lineRule="auto"/>
        <w:jc w:val="center"/>
        <w:rPr>
          <w:b w:val="1"/>
          <w:sz w:val="18"/>
          <w:szCs w:val="18"/>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numPr>
          <w:ilvl w:val="0"/>
          <w:numId w:val="1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The subject of the contract</w:t>
      </w:r>
    </w:p>
    <w:p w:rsidR="00000000" w:rsidDel="00000000" w:rsidP="00000000" w:rsidRDefault="00000000" w:rsidRPr="00000000" w14:paraId="00000004">
      <w:pPr>
        <w:jc w:val="both"/>
        <w:rPr>
          <w:color w:val="000000"/>
        </w:rPr>
      </w:pPr>
      <w:r w:rsidDel="00000000" w:rsidR="00000000" w:rsidRPr="00000000">
        <w:rPr>
          <w:color w:val="000000"/>
          <w:rtl w:val="0"/>
        </w:rPr>
        <w:t xml:space="preserve">The subject of the order is the delivery of the automatic cleaning system of semiconductor substrates to the Purchaser's headquarters in accordance with the specification contained in item 5 and training of employees in accordance with the picking list contained in item 2.2.</w:t>
      </w:r>
    </w:p>
    <w:p w:rsidR="00000000" w:rsidDel="00000000" w:rsidP="00000000" w:rsidRDefault="00000000" w:rsidRPr="00000000" w14:paraId="00000005">
      <w:pPr>
        <w:spacing w:after="0" w:line="240" w:lineRule="auto"/>
        <w:jc w:val="both"/>
        <w:rPr>
          <w:color w:val="000000"/>
        </w:rPr>
      </w:pPr>
      <w:r w:rsidDel="00000000" w:rsidR="00000000" w:rsidRPr="00000000">
        <w:rPr>
          <w:rtl w:val="0"/>
        </w:rPr>
      </w:r>
    </w:p>
    <w:p w:rsidR="00000000" w:rsidDel="00000000" w:rsidP="00000000" w:rsidRDefault="00000000" w:rsidRPr="00000000" w14:paraId="00000006">
      <w:pPr>
        <w:spacing w:after="0" w:line="240" w:lineRule="auto"/>
        <w:jc w:val="both"/>
        <w:rPr>
          <w:color w:val="000000"/>
        </w:rPr>
      </w:pPr>
      <w:r w:rsidDel="00000000" w:rsidR="00000000" w:rsidRPr="00000000">
        <w:rPr>
          <w:color w:val="000000"/>
          <w:rtl w:val="0"/>
        </w:rPr>
        <w:t xml:space="preserve">The Contractor will provide warranty and service:</w:t>
      </w:r>
    </w:p>
    <w:p w:rsidR="00000000" w:rsidDel="00000000" w:rsidP="00000000" w:rsidRDefault="00000000" w:rsidRPr="00000000" w14:paraId="0000000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warranty shall be granted for the period: minimum 24 months from the date of delivery confirmed by a protocol of receipt;</w:t>
      </w:r>
    </w:p>
    <w:p w:rsidR="00000000" w:rsidDel="00000000" w:rsidP="00000000" w:rsidRDefault="00000000" w:rsidRPr="00000000" w14:paraId="0000000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Contractor shall provide free of charge service for the duration of the warranty, the </w:t>
      </w:r>
      <w:r w:rsidDel="00000000" w:rsidR="00000000" w:rsidRPr="00000000">
        <w:rPr>
          <w:rtl w:val="0"/>
        </w:rPr>
        <w:t xml:space="preserve">onside support and feedback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take place within 3 working days from the moment of reporting the defect;</w:t>
      </w:r>
    </w:p>
    <w:p w:rsidR="00000000" w:rsidDel="00000000" w:rsidP="00000000" w:rsidRDefault="00000000" w:rsidRPr="00000000" w14:paraId="0000000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Contractor shall provide paid post-warranty service for the period of </w:t>
      </w:r>
      <w:r w:rsidDel="00000000" w:rsidR="00000000" w:rsidRPr="00000000">
        <w:rPr>
          <w:rtl w:val="0"/>
        </w:rPr>
        <w:t xml:space="preserve">7 years from the expiry of the warranty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Contractor shall provide access to spare parts and accessories to the system throughout the entire product life cycle and for a minimum of 7 years after that cycle;</w:t>
      </w:r>
    </w:p>
    <w:p w:rsidR="00000000" w:rsidDel="00000000" w:rsidP="00000000" w:rsidRDefault="00000000" w:rsidRPr="00000000" w14:paraId="0000000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Contractor shall provide the necessary accessories and spare parts to repair the defect within not more than 5 working days after the consultant's visit and finding the defect;</w:t>
      </w:r>
    </w:p>
    <w:p w:rsidR="00000000" w:rsidDel="00000000" w:rsidP="00000000" w:rsidRDefault="00000000" w:rsidRPr="00000000" w14:paraId="0000000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Contractor shall provide support over the course of its business activity by telephone and e-mail in less than 48 hours in business days;</w:t>
      </w:r>
    </w:p>
    <w:p w:rsidR="00000000" w:rsidDel="00000000" w:rsidP="00000000" w:rsidRDefault="00000000" w:rsidRPr="00000000" w14:paraId="0000000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Supplier shall provide technical support including free of charge updates and possibilities to extend the device through the product life cycle;</w:t>
      </w:r>
    </w:p>
    <w:p w:rsidR="00000000" w:rsidDel="00000000" w:rsidP="00000000" w:rsidRDefault="00000000" w:rsidRPr="00000000" w14:paraId="0000000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Contractor shall ensure that the service technician's response time and travel time to the customer is within a maximum of </w:t>
      </w:r>
      <w:r w:rsidDel="00000000" w:rsidR="00000000" w:rsidRPr="00000000">
        <w:rPr>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working days from the notification also after the warranty period has expired.</w:t>
      </w:r>
    </w:p>
    <w:p w:rsidR="00000000" w:rsidDel="00000000" w:rsidP="00000000" w:rsidRDefault="00000000" w:rsidRPr="00000000" w14:paraId="0000000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Contractor shall ensure the possibility of training in system operation during and after the warranty period and throughout the whole product life cycle;</w:t>
      </w:r>
    </w:p>
    <w:p w:rsidR="00000000" w:rsidDel="00000000" w:rsidP="00000000" w:rsidRDefault="00000000" w:rsidRPr="00000000" w14:paraId="00000010">
      <w:pPr>
        <w:spacing w:after="0" w:line="240" w:lineRule="auto"/>
        <w:ind w:left="1440" w:firstLine="0"/>
        <w:jc w:val="both"/>
        <w:rPr>
          <w:color w:val="000000"/>
        </w:rPr>
      </w:pPr>
      <w:r w:rsidDel="00000000" w:rsidR="00000000" w:rsidRPr="00000000">
        <w:rPr>
          <w:rtl w:val="0"/>
        </w:rPr>
      </w:r>
    </w:p>
    <w:p w:rsidR="00000000" w:rsidDel="00000000" w:rsidP="00000000" w:rsidRDefault="00000000" w:rsidRPr="00000000" w14:paraId="00000011">
      <w:pPr>
        <w:spacing w:after="0" w:line="240" w:lineRule="auto"/>
        <w:ind w:left="1440" w:firstLine="0"/>
        <w:jc w:val="both"/>
        <w:rPr>
          <w:highlight w:val="white"/>
        </w:rPr>
      </w:pPr>
      <w:r w:rsidDel="00000000" w:rsidR="00000000" w:rsidRPr="00000000">
        <w:rPr>
          <w:rtl w:val="0"/>
        </w:rPr>
      </w:r>
    </w:p>
    <w:p w:rsidR="00000000" w:rsidDel="00000000" w:rsidP="00000000" w:rsidRDefault="00000000" w:rsidRPr="00000000" w14:paraId="00000012">
      <w:pPr>
        <w:spacing w:after="0" w:line="240" w:lineRule="auto"/>
        <w:jc w:val="both"/>
        <w:rPr>
          <w:highlight w:val="white"/>
        </w:rPr>
      </w:pPr>
      <w:r w:rsidDel="00000000" w:rsidR="00000000" w:rsidRPr="00000000">
        <w:rPr>
          <w:rtl w:val="0"/>
        </w:rPr>
      </w:r>
    </w:p>
    <w:p w:rsidR="00000000" w:rsidDel="00000000" w:rsidP="00000000" w:rsidRDefault="00000000" w:rsidRPr="00000000" w14:paraId="00000013">
      <w:pPr>
        <w:spacing w:after="0" w:line="240" w:lineRule="auto"/>
        <w:jc w:val="both"/>
        <w:rPr>
          <w:highlight w:val="white"/>
        </w:rPr>
      </w:pPr>
      <w:r w:rsidDel="00000000" w:rsidR="00000000" w:rsidRPr="00000000">
        <w:rPr>
          <w:rtl w:val="0"/>
        </w:rPr>
        <w:t xml:space="preserve">Additionally, the Contractor will meet the following requirements:</w:t>
      </w:r>
      <w:r w:rsidDel="00000000" w:rsidR="00000000" w:rsidRPr="00000000">
        <w:rPr>
          <w:rtl w:val="0"/>
        </w:rPr>
      </w:r>
    </w:p>
    <w:p w:rsidR="00000000" w:rsidDel="00000000" w:rsidP="00000000" w:rsidRDefault="00000000" w:rsidRPr="00000000" w14:paraId="00000014">
      <w:pPr>
        <w:numPr>
          <w:ilvl w:val="1"/>
          <w:numId w:val="10"/>
        </w:numPr>
        <w:spacing w:after="0" w:line="240" w:lineRule="auto"/>
        <w:ind w:left="1440" w:hanging="360"/>
        <w:jc w:val="both"/>
        <w:rPr>
          <w:highlight w:val="white"/>
        </w:rPr>
      </w:pPr>
      <w:r w:rsidDel="00000000" w:rsidR="00000000" w:rsidRPr="00000000">
        <w:rPr>
          <w:rtl w:val="0"/>
        </w:rPr>
        <w:t xml:space="preserve">The Contractor shall provide training at the Purchaser's premises in order to demonstrate the system, present processes and learn how to operate the system in accordance with point 2 of the specification contained in section 2;</w:t>
      </w:r>
      <w:r w:rsidDel="00000000" w:rsidR="00000000" w:rsidRPr="00000000">
        <w:rPr>
          <w:rtl w:val="0"/>
        </w:rPr>
      </w:r>
    </w:p>
    <w:p w:rsidR="00000000" w:rsidDel="00000000" w:rsidP="00000000" w:rsidRDefault="00000000" w:rsidRPr="00000000" w14:paraId="00000015">
      <w:pPr>
        <w:numPr>
          <w:ilvl w:val="1"/>
          <w:numId w:val="10"/>
        </w:numPr>
        <w:spacing w:after="0" w:line="240" w:lineRule="auto"/>
        <w:ind w:left="1440" w:hanging="360"/>
        <w:jc w:val="both"/>
        <w:rPr>
          <w:highlight w:val="white"/>
        </w:rPr>
      </w:pPr>
      <w:r w:rsidDel="00000000" w:rsidR="00000000" w:rsidRPr="00000000">
        <w:rPr>
          <w:rtl w:val="0"/>
        </w:rPr>
        <w:t xml:space="preserve">The Contractor shall ensure compliance with the CE declaration.</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360" w:lineRule="auto"/>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17">
      <w:pPr>
        <w:numPr>
          <w:ilvl w:val="0"/>
          <w:numId w:val="1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Scope of the subject matter of the contract</w:t>
      </w:r>
    </w:p>
    <w:p w:rsidR="00000000" w:rsidDel="00000000" w:rsidP="00000000" w:rsidRDefault="00000000" w:rsidRPr="00000000" w14:paraId="00000018">
      <w:pPr>
        <w:spacing w:after="0" w:line="240" w:lineRule="auto"/>
        <w:jc w:val="both"/>
        <w:rPr>
          <w:color w:val="000000"/>
        </w:rPr>
      </w:pPr>
      <w:r w:rsidDel="00000000" w:rsidR="00000000" w:rsidRPr="00000000">
        <w:rPr>
          <w:color w:val="000000"/>
          <w:rtl w:val="0"/>
        </w:rPr>
        <w:t xml:space="preserve">The subject matter of the order includes:</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Automatic cleaning system with:</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Double nozzle with a high pressure and atomizing nozzles,</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Variable speed of the double nozzle,</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Variable cleaning pressure,</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Rinsing function,</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Graphical User Interface,</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Programmable recipes;</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Operators training for at least two operators including:</w:t>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Basic system operation</w:t>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 features of the system</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Recipe building </w:t>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maintenance.</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360" w:lineRule="auto"/>
        <w:rPr>
          <w:b w:val="1"/>
          <w:u w:val="single"/>
        </w:rPr>
      </w:pPr>
      <w:r w:rsidDel="00000000" w:rsidR="00000000" w:rsidRPr="00000000">
        <w:rPr>
          <w:rtl w:val="0"/>
        </w:rPr>
      </w:r>
    </w:p>
    <w:p w:rsidR="00000000" w:rsidDel="00000000" w:rsidP="00000000" w:rsidRDefault="00000000" w:rsidRPr="00000000" w14:paraId="00000026">
      <w:pPr>
        <w:numPr>
          <w:ilvl w:val="0"/>
          <w:numId w:val="1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Evaluation criteria</w:t>
      </w:r>
    </w:p>
    <w:p w:rsidR="00000000" w:rsidDel="00000000" w:rsidP="00000000" w:rsidRDefault="00000000" w:rsidRPr="00000000" w14:paraId="00000027">
      <w:pPr>
        <w:rPr/>
      </w:pPr>
      <w:r w:rsidDel="00000000" w:rsidR="00000000" w:rsidRPr="00000000">
        <w:rPr>
          <w:rtl w:val="0"/>
        </w:rPr>
        <w:t xml:space="preserve">Offers will be evaluated on a points scale with a maximum of 100 points.</w:t>
      </w:r>
    </w:p>
    <w:tbl>
      <w:tblPr>
        <w:tblStyle w:val="Table1"/>
        <w:tblW w:w="9836.0" w:type="dxa"/>
        <w:jc w:val="left"/>
        <w:tblInd w:w="0.0" w:type="dxa"/>
        <w:tblLayout w:type="fixed"/>
        <w:tblLook w:val="0000"/>
      </w:tblPr>
      <w:tblGrid>
        <w:gridCol w:w="4780"/>
        <w:gridCol w:w="2528"/>
        <w:gridCol w:w="2528"/>
        <w:tblGridChange w:id="0">
          <w:tblGrid>
            <w:gridCol w:w="4780"/>
            <w:gridCol w:w="2528"/>
            <w:gridCol w:w="2528"/>
          </w:tblGrid>
        </w:tblGridChange>
      </w:tblGrid>
      <w:tr>
        <w:tc>
          <w:tcPr>
            <w:tcBorders>
              <w:top w:color="000000" w:space="0" w:sz="4" w:val="single"/>
              <w:left w:color="000000" w:space="0" w:sz="4" w:val="single"/>
              <w:bottom w:color="000000" w:space="0" w:sz="4" w:val="single"/>
            </w:tcBorders>
            <w:shd w:fill="dddddd" w:val="clear"/>
            <w:tcMar>
              <w:top w:w="55.0" w:type="dxa"/>
              <w:left w:w="55.0" w:type="dxa"/>
              <w:bottom w:w="55.0" w:type="dxa"/>
              <w:right w:w="55.0" w:type="dxa"/>
            </w:tcMar>
            <w:vAlign w:val="center"/>
          </w:tcPr>
          <w:p w:rsidR="00000000" w:rsidDel="00000000" w:rsidP="00000000" w:rsidRDefault="00000000" w:rsidRPr="00000000" w14:paraId="00000028">
            <w:pPr>
              <w:rPr/>
            </w:pPr>
            <w:r w:rsidDel="00000000" w:rsidR="00000000" w:rsidRPr="00000000">
              <w:rPr>
                <w:rtl w:val="0"/>
              </w:rPr>
              <w:t xml:space="preserve">Criterion</w:t>
            </w:r>
          </w:p>
        </w:tc>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tcPr>
          <w:p w:rsidR="00000000" w:rsidDel="00000000" w:rsidP="00000000" w:rsidRDefault="00000000" w:rsidRPr="00000000" w14:paraId="00000029">
            <w:pPr>
              <w:rPr/>
            </w:pPr>
            <w:r w:rsidDel="00000000" w:rsidR="00000000" w:rsidRPr="00000000">
              <w:rPr>
                <w:rtl w:val="0"/>
              </w:rPr>
              <w:t xml:space="preserve">Maximum number of points (S)</w:t>
            </w:r>
          </w:p>
        </w:tc>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tcPr>
          <w:p w:rsidR="00000000" w:rsidDel="00000000" w:rsidP="00000000" w:rsidRDefault="00000000" w:rsidRPr="00000000" w14:paraId="0000002A">
            <w:pPr>
              <w:rPr/>
            </w:pPr>
            <w:r w:rsidDel="00000000" w:rsidR="00000000" w:rsidRPr="00000000">
              <w:rPr>
                <w:rtl w:val="0"/>
              </w:rPr>
              <w:t xml:space="preserve">Awarding method</w:t>
            </w:r>
          </w:p>
        </w:tc>
      </w:tr>
      <w:t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2B">
            <w:pPr>
              <w:rPr/>
            </w:pPr>
            <w:r w:rsidDel="00000000" w:rsidR="00000000" w:rsidRPr="00000000">
              <w:rPr>
                <w:rtl w:val="0"/>
              </w:rPr>
              <w:t xml:space="preserve">Price (P)</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2C">
            <w:pPr>
              <w:widowControl w:val="0"/>
              <w:spacing w:after="0" w:line="240" w:lineRule="auto"/>
              <w:jc w:val="center"/>
              <w:rPr/>
            </w:pPr>
            <w:r w:rsidDel="00000000" w:rsidR="00000000" w:rsidRPr="00000000">
              <w:rPr>
                <w:rtl w:val="0"/>
              </w:rPr>
              <w:t xml:space="preserve">70</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2D">
            <w:pPr>
              <w:widowControl w:val="0"/>
              <w:spacing w:after="0" w:line="240" w:lineRule="auto"/>
              <w:jc w:val="center"/>
              <w:rPr/>
            </w:pPr>
            <w:r w:rsidDel="00000000" w:rsidR="00000000" w:rsidRPr="00000000">
              <w:rPr>
                <w:rtl w:val="0"/>
              </w:rPr>
              <w:t xml:space="preserve">S x Pmin/Pi</w:t>
            </w:r>
          </w:p>
        </w:tc>
      </w:tr>
      <w:t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2E">
            <w:pPr>
              <w:rPr/>
            </w:pPr>
            <w:r w:rsidDel="00000000" w:rsidR="00000000" w:rsidRPr="00000000">
              <w:rPr>
                <w:rtl w:val="0"/>
              </w:rPr>
              <w:t xml:space="preserve">Duration of the guarantee period (W)</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2F">
            <w:pPr>
              <w:widowControl w:val="0"/>
              <w:spacing w:after="0" w:line="240" w:lineRule="auto"/>
              <w:jc w:val="center"/>
              <w:rPr>
                <w:color w:val="000000"/>
              </w:rPr>
            </w:pPr>
            <w:r w:rsidDel="00000000" w:rsidR="00000000" w:rsidRPr="00000000">
              <w:rPr>
                <w:rtl w:val="0"/>
              </w:rPr>
              <w:t xml:space="preserve">30</w:t>
            </w:r>
            <w:r w:rsidDel="00000000" w:rsidR="00000000" w:rsidRPr="00000000">
              <w:rPr>
                <w:rtl w:val="0"/>
              </w:rPr>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30">
            <w:pPr>
              <w:widowControl w:val="0"/>
              <w:spacing w:after="0" w:line="240" w:lineRule="auto"/>
              <w:jc w:val="center"/>
              <w:rPr/>
            </w:pPr>
            <w:r w:rsidDel="00000000" w:rsidR="00000000" w:rsidRPr="00000000">
              <w:rPr>
                <w:rtl w:val="0"/>
              </w:rPr>
              <w:t xml:space="preserve">S x Wi/Wmax</w:t>
            </w:r>
          </w:p>
        </w:tc>
      </w:tr>
    </w:tbl>
    <w:p w:rsidR="00000000" w:rsidDel="00000000" w:rsidP="00000000" w:rsidRDefault="00000000" w:rsidRPr="00000000" w14:paraId="00000031">
      <w:pPr>
        <w:spacing w:after="0" w:line="240" w:lineRule="auto"/>
        <w:rPr/>
      </w:pPr>
      <w:bookmarkStart w:colFirst="0" w:colLast="0" w:name="_heading=h.30j0zll" w:id="1"/>
      <w:bookmarkEnd w:id="1"/>
      <w:r w:rsidDel="00000000" w:rsidR="00000000" w:rsidRPr="00000000">
        <w:rPr>
          <w:rtl w:val="0"/>
        </w:rPr>
      </w:r>
    </w:p>
    <w:p w:rsidR="00000000" w:rsidDel="00000000" w:rsidP="00000000" w:rsidRDefault="00000000" w:rsidRPr="00000000" w14:paraId="00000032">
      <w:pPr>
        <w:spacing w:after="0" w:line="240" w:lineRule="auto"/>
        <w:jc w:val="both"/>
        <w:rPr/>
      </w:pPr>
      <w:r w:rsidDel="00000000" w:rsidR="00000000" w:rsidRPr="00000000">
        <w:rPr>
          <w:rtl w:val="0"/>
        </w:rPr>
        <w:t xml:space="preserve">Where:</w:t>
      </w:r>
    </w:p>
    <w:p w:rsidR="00000000" w:rsidDel="00000000" w:rsidP="00000000" w:rsidRDefault="00000000" w:rsidRPr="00000000" w14:paraId="0000003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 Wi, are the price, device warranty period, respectively,</w:t>
      </w:r>
    </w:p>
    <w:p w:rsidR="00000000" w:rsidDel="00000000" w:rsidP="00000000" w:rsidRDefault="00000000" w:rsidRPr="00000000" w14:paraId="0000003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Pmin, Wmax, are respectively the minimum price of the device among all offers, the maximum warranty period of the device among all offers.</w:t>
      </w:r>
    </w:p>
    <w:p w:rsidR="00000000" w:rsidDel="00000000" w:rsidP="00000000" w:rsidRDefault="00000000" w:rsidRPr="00000000" w14:paraId="00000035">
      <w:pPr>
        <w:rPr/>
      </w:pPr>
      <w:r w:rsidDel="00000000" w:rsidR="00000000" w:rsidRPr="00000000">
        <w:rPr>
          <w:rtl w:val="0"/>
        </w:rPr>
        <w:t xml:space="preserve">The final score will be calculated by summing up the partial components and then rounding to two decimal places.</w:t>
      </w:r>
    </w:p>
    <w:p w:rsidR="00000000" w:rsidDel="00000000" w:rsidP="00000000" w:rsidRDefault="00000000" w:rsidRPr="00000000" w14:paraId="0000003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426" w:right="0" w:hanging="426"/>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The deadline for completion of the order</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360" w:lineRule="auto"/>
        <w:rPr/>
      </w:pPr>
      <w:r w:rsidDel="00000000" w:rsidR="00000000" w:rsidRPr="00000000">
        <w:rPr>
          <w:rtl w:val="0"/>
        </w:rPr>
        <w:t xml:space="preserve">Up to 26 weeks after signing the contract.</w:t>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Parameters</w:t>
      </w:r>
    </w:p>
    <w:tbl>
      <w:tblPr>
        <w:tblStyle w:val="Table2"/>
        <w:tblW w:w="11042.0" w:type="dxa"/>
        <w:jc w:val="left"/>
        <w:tblInd w:w="-9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
        <w:gridCol w:w="1701"/>
        <w:gridCol w:w="1985"/>
        <w:gridCol w:w="6930"/>
        <w:tblGridChange w:id="0">
          <w:tblGrid>
            <w:gridCol w:w="426"/>
            <w:gridCol w:w="1701"/>
            <w:gridCol w:w="1985"/>
            <w:gridCol w:w="6930"/>
          </w:tblGrid>
        </w:tblGridChange>
      </w:tblGrid>
      <w:tr>
        <w:trPr>
          <w:trHeight w:val="240" w:hRule="atLeast"/>
        </w:trPr>
        <w:tc>
          <w:tcPr>
            <w:shd w:fill="dddddd" w:val="clear"/>
            <w:tcMar>
              <w:top w:w="55.0" w:type="dxa"/>
              <w:left w:w="55.0" w:type="dxa"/>
              <w:bottom w:w="55.0" w:type="dxa"/>
              <w:right w:w="55.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w:t>
            </w:r>
          </w:p>
        </w:tc>
        <w:tc>
          <w:tcPr>
            <w:shd w:fill="dddddd" w:val="clear"/>
            <w:tcMar>
              <w:top w:w="55.0" w:type="dxa"/>
              <w:left w:w="55.0" w:type="dxa"/>
              <w:bottom w:w="55.0" w:type="dxa"/>
              <w:right w:w="55.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0" w:line="240" w:lineRule="auto"/>
              <w:jc w:val="center"/>
              <w:rPr>
                <w:color w:val="000000"/>
                <w:sz w:val="16"/>
                <w:szCs w:val="16"/>
              </w:rPr>
            </w:pPr>
            <w:r w:rsidDel="00000000" w:rsidR="00000000" w:rsidRPr="00000000">
              <w:rPr>
                <w:sz w:val="16"/>
                <w:szCs w:val="16"/>
                <w:rtl w:val="0"/>
              </w:rPr>
              <w:t xml:space="preserve">Component</w:t>
            </w:r>
            <w:r w:rsidDel="00000000" w:rsidR="00000000" w:rsidRPr="00000000">
              <w:rPr>
                <w:rtl w:val="0"/>
              </w:rPr>
            </w:r>
          </w:p>
        </w:tc>
        <w:tc>
          <w:tcPr>
            <w:shd w:fill="dddddd" w:val="clear"/>
            <w:tcMar>
              <w:top w:w="55.0" w:type="dxa"/>
              <w:left w:w="55.0" w:type="dxa"/>
              <w:bottom w:w="55.0" w:type="dxa"/>
              <w:right w:w="55.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0" w:line="240" w:lineRule="auto"/>
              <w:jc w:val="center"/>
              <w:rPr>
                <w:color w:val="000000"/>
                <w:sz w:val="16"/>
                <w:szCs w:val="16"/>
              </w:rPr>
            </w:pPr>
            <w:r w:rsidDel="00000000" w:rsidR="00000000" w:rsidRPr="00000000">
              <w:rPr>
                <w:sz w:val="16"/>
                <w:szCs w:val="16"/>
                <w:rtl w:val="0"/>
              </w:rPr>
              <w:t xml:space="preserve">Parameter/Function</w:t>
            </w:r>
            <w:r w:rsidDel="00000000" w:rsidR="00000000" w:rsidRPr="00000000">
              <w:rPr>
                <w:rtl w:val="0"/>
              </w:rPr>
            </w:r>
          </w:p>
        </w:tc>
        <w:tc>
          <w:tcPr>
            <w:shd w:fill="dddddd" w:val="cle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0" w:line="240" w:lineRule="auto"/>
              <w:jc w:val="center"/>
              <w:rPr>
                <w:color w:val="000000"/>
                <w:sz w:val="16"/>
                <w:szCs w:val="16"/>
              </w:rPr>
            </w:pPr>
            <w:r w:rsidDel="00000000" w:rsidR="00000000" w:rsidRPr="00000000">
              <w:rPr>
                <w:sz w:val="16"/>
                <w:szCs w:val="16"/>
                <w:rtl w:val="0"/>
              </w:rPr>
              <w:t xml:space="preserve">Description</w:t>
            </w:r>
            <w:r w:rsidDel="00000000" w:rsidR="00000000" w:rsidRPr="00000000">
              <w:rPr>
                <w:rtl w:val="0"/>
              </w:rPr>
            </w:r>
          </w:p>
        </w:tc>
      </w:tr>
      <w:tr>
        <w:trPr>
          <w:trHeight w:val="240" w:hRule="atLeast"/>
        </w:trPr>
        <w:tc>
          <w:tcPr>
            <w:vMerge w:val="restart"/>
            <w:tcMar>
              <w:top w:w="55.0" w:type="dxa"/>
              <w:left w:w="55.0" w:type="dxa"/>
              <w:bottom w:w="55.0" w:type="dxa"/>
              <w:right w:w="55.0" w:type="dxa"/>
            </w:tcMar>
            <w:vAlign w:val="center"/>
          </w:tcPr>
          <w:p w:rsidR="00000000" w:rsidDel="00000000" w:rsidP="00000000" w:rsidRDefault="00000000" w:rsidRPr="00000000" w14:paraId="0000003D">
            <w:pPr>
              <w:widowControl w:val="0"/>
              <w:spacing w:after="0" w:line="240" w:lineRule="auto"/>
              <w:jc w:val="center"/>
              <w:rPr/>
            </w:pPr>
            <w:r w:rsidDel="00000000" w:rsidR="00000000" w:rsidRPr="00000000">
              <w:rPr>
                <w:rtl w:val="0"/>
              </w:rPr>
              <w:t xml:space="preserve">1</w:t>
            </w:r>
          </w:p>
        </w:tc>
        <w:tc>
          <w:tcPr>
            <w:vMerge w:val="restart"/>
            <w:tcMar>
              <w:top w:w="55.0" w:type="dxa"/>
              <w:left w:w="55.0" w:type="dxa"/>
              <w:bottom w:w="55.0" w:type="dxa"/>
              <w:right w:w="55.0" w:type="dxa"/>
            </w:tcMar>
            <w:vAlign w:val="center"/>
          </w:tcPr>
          <w:p w:rsidR="00000000" w:rsidDel="00000000" w:rsidP="00000000" w:rsidRDefault="00000000" w:rsidRPr="00000000" w14:paraId="0000003E">
            <w:pPr>
              <w:spacing w:after="0" w:line="240" w:lineRule="auto"/>
              <w:rPr/>
            </w:pPr>
            <w:r w:rsidDel="00000000" w:rsidR="00000000" w:rsidRPr="00000000">
              <w:rPr>
                <w:rtl w:val="0"/>
              </w:rPr>
              <w:t xml:space="preserve">Automatic cleaning system</w:t>
            </w:r>
          </w:p>
        </w:tc>
        <w:tc>
          <w:tcPr>
            <w:tcMar>
              <w:top w:w="55.0" w:type="dxa"/>
              <w:left w:w="55.0" w:type="dxa"/>
              <w:bottom w:w="55.0" w:type="dxa"/>
              <w:right w:w="55.0" w:type="dxa"/>
            </w:tcMar>
            <w:vAlign w:val="center"/>
          </w:tcPr>
          <w:p w:rsidR="00000000" w:rsidDel="00000000" w:rsidP="00000000" w:rsidRDefault="00000000" w:rsidRPr="00000000" w14:paraId="0000003F">
            <w:pPr>
              <w:spacing w:after="0" w:line="240" w:lineRule="auto"/>
              <w:rPr/>
            </w:pPr>
            <w:r w:rsidDel="00000000" w:rsidR="00000000" w:rsidRPr="00000000">
              <w:rPr>
                <w:rtl w:val="0"/>
              </w:rPr>
              <w:t xml:space="preserve">Porous spinner table for 6” frames</w:t>
            </w:r>
          </w:p>
        </w:tc>
        <w:tc>
          <w:tcPr>
            <w:vAlign w:val="center"/>
          </w:tcPr>
          <w:p w:rsidR="00000000" w:rsidDel="00000000" w:rsidP="00000000" w:rsidRDefault="00000000" w:rsidRPr="00000000" w14:paraId="00000040">
            <w:pPr>
              <w:numPr>
                <w:ilvl w:val="0"/>
                <w:numId w:val="1"/>
              </w:numPr>
              <w:spacing w:after="0" w:line="240" w:lineRule="auto"/>
              <w:ind w:left="720" w:hanging="360"/>
              <w:rPr/>
            </w:pPr>
            <w:r w:rsidDel="00000000" w:rsidR="00000000" w:rsidRPr="00000000">
              <w:rPr>
                <w:rtl w:val="0"/>
              </w:rPr>
              <w:t xml:space="preserve">Spinner table with controllable rotation speed with the minimum speed at least 100 RPM or less</w:t>
            </w:r>
          </w:p>
        </w:tc>
      </w:tr>
      <w:tr>
        <w:trPr>
          <w:trHeight w:val="240" w:hRule="atLeast"/>
        </w:trPr>
        <w:tc>
          <w:tcPr>
            <w:vMerge w:val="continue"/>
            <w:tcMar>
              <w:top w:w="55.0" w:type="dxa"/>
              <w:left w:w="55.0" w:type="dxa"/>
              <w:bottom w:w="55.0" w:type="dxa"/>
              <w:right w:w="55.0" w:type="dxa"/>
            </w:tcMar>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43">
            <w:pPr>
              <w:spacing w:after="0" w:line="240" w:lineRule="auto"/>
              <w:rPr>
                <w:color w:val="000000"/>
              </w:rPr>
            </w:pPr>
            <w:r w:rsidDel="00000000" w:rsidR="00000000" w:rsidRPr="00000000">
              <w:rPr>
                <w:color w:val="000000"/>
                <w:rtl w:val="0"/>
              </w:rPr>
              <w:t xml:space="preserve">Variable nozzle speed adjustment</w:t>
            </w:r>
          </w:p>
        </w:tc>
        <w:tc>
          <w:tcPr>
            <w:vAlign w:val="center"/>
          </w:tcPr>
          <w:p w:rsidR="00000000" w:rsidDel="00000000" w:rsidP="00000000" w:rsidRDefault="00000000" w:rsidRPr="00000000" w14:paraId="00000044">
            <w:pPr>
              <w:numPr>
                <w:ilvl w:val="0"/>
                <w:numId w:val="2"/>
              </w:numPr>
              <w:spacing w:after="0" w:line="240" w:lineRule="auto"/>
              <w:ind w:left="720" w:hanging="360"/>
              <w:rPr/>
            </w:pPr>
            <w:r w:rsidDel="00000000" w:rsidR="00000000" w:rsidRPr="00000000">
              <w:rPr>
                <w:rtl w:val="0"/>
              </w:rPr>
              <w:t xml:space="preserve">Variable, programmable nozzle cleaning speed at least up to 37</w:t>
            </w:r>
            <w:r w:rsidDel="00000000" w:rsidR="00000000" w:rsidRPr="00000000">
              <w:rPr>
                <w:rFonts w:ascii="Tahoma" w:cs="Tahoma" w:eastAsia="Tahoma" w:hAnsi="Tahoma"/>
                <w:rtl w:val="0"/>
              </w:rPr>
              <w:t xml:space="preserve">°</w:t>
            </w:r>
            <w:r w:rsidDel="00000000" w:rsidR="00000000" w:rsidRPr="00000000">
              <w:rPr>
                <w:rtl w:val="0"/>
              </w:rPr>
              <w:t xml:space="preserve">/s</w:t>
            </w:r>
          </w:p>
        </w:tc>
      </w:tr>
      <w:tr>
        <w:trPr>
          <w:trHeight w:val="240" w:hRule="atLeast"/>
        </w:trPr>
        <w:tc>
          <w:tcPr>
            <w:vMerge w:val="continue"/>
            <w:tcMar>
              <w:top w:w="55.0" w:type="dxa"/>
              <w:left w:w="55.0" w:type="dxa"/>
              <w:bottom w:w="55.0" w:type="dxa"/>
              <w:right w:w="55.0" w:type="dxa"/>
            </w:tcMar>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47">
            <w:pPr>
              <w:spacing w:after="0" w:line="240" w:lineRule="auto"/>
              <w:rPr/>
            </w:pPr>
            <w:r w:rsidDel="00000000" w:rsidR="00000000" w:rsidRPr="00000000">
              <w:rPr>
                <w:rtl w:val="0"/>
              </w:rPr>
              <w:t xml:space="preserve">High pressure pump</w:t>
            </w:r>
          </w:p>
        </w:tc>
        <w:tc>
          <w:tcPr>
            <w:vAlign w:val="center"/>
          </w:tcPr>
          <w:p w:rsidR="00000000" w:rsidDel="00000000" w:rsidP="00000000" w:rsidRDefault="00000000" w:rsidRPr="00000000" w14:paraId="00000048">
            <w:pPr>
              <w:numPr>
                <w:ilvl w:val="0"/>
                <w:numId w:val="2"/>
              </w:numPr>
              <w:spacing w:after="0" w:line="240" w:lineRule="auto"/>
              <w:ind w:left="720" w:hanging="360"/>
              <w:rPr/>
            </w:pPr>
            <w:r w:rsidDel="00000000" w:rsidR="00000000" w:rsidRPr="00000000">
              <w:rPr>
                <w:rtl w:val="0"/>
              </w:rPr>
              <w:t xml:space="preserve">High pressure water pump with adjusted pressure up to at least 100 bar</w:t>
            </w:r>
          </w:p>
        </w:tc>
      </w:tr>
      <w:tr>
        <w:trPr>
          <w:trHeight w:val="240" w:hRule="atLeast"/>
        </w:trPr>
        <w:tc>
          <w:tcPr>
            <w:vMerge w:val="continue"/>
            <w:tcMar>
              <w:top w:w="55.0" w:type="dxa"/>
              <w:left w:w="55.0" w:type="dxa"/>
              <w:bottom w:w="55.0" w:type="dxa"/>
              <w:right w:w="55.0" w:type="dxa"/>
            </w:tcMar>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4B">
            <w:pPr>
              <w:spacing w:after="0" w:line="240" w:lineRule="auto"/>
              <w:rPr/>
            </w:pPr>
            <w:r w:rsidDel="00000000" w:rsidR="00000000" w:rsidRPr="00000000">
              <w:rPr>
                <w:rtl w:val="0"/>
              </w:rPr>
              <w:t xml:space="preserve">Internal duct-fan unit</w:t>
            </w:r>
          </w:p>
        </w:tc>
        <w:tc>
          <w:tcPr>
            <w:vAlign w:val="center"/>
          </w:tcPr>
          <w:p w:rsidR="00000000" w:rsidDel="00000000" w:rsidP="00000000" w:rsidRDefault="00000000" w:rsidRPr="00000000" w14:paraId="0000004C">
            <w:pPr>
              <w:numPr>
                <w:ilvl w:val="0"/>
                <w:numId w:val="2"/>
              </w:numPr>
              <w:spacing w:after="0" w:line="240" w:lineRule="auto"/>
              <w:ind w:left="720" w:hanging="360"/>
              <w:rPr/>
            </w:pPr>
            <w:r w:rsidDel="00000000" w:rsidR="00000000" w:rsidRPr="00000000">
              <w:rPr>
                <w:rtl w:val="0"/>
              </w:rPr>
              <w:t xml:space="preserve">Internal fan unit for forced blow of water mist from the device</w:t>
            </w:r>
          </w:p>
        </w:tc>
      </w:tr>
      <w:tr>
        <w:trPr>
          <w:trHeight w:val="240" w:hRule="atLeast"/>
        </w:trPr>
        <w:tc>
          <w:tcPr>
            <w:vMerge w:val="continue"/>
            <w:tcMar>
              <w:top w:w="55.0" w:type="dxa"/>
              <w:left w:w="55.0" w:type="dxa"/>
              <w:bottom w:w="55.0" w:type="dxa"/>
              <w:right w:w="55.0" w:type="dxa"/>
            </w:tcMar>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4F">
            <w:pPr>
              <w:spacing w:after="0" w:line="240" w:lineRule="auto"/>
              <w:rPr/>
            </w:pPr>
            <w:r w:rsidDel="00000000" w:rsidR="00000000" w:rsidRPr="00000000">
              <w:rPr>
                <w:rtl w:val="0"/>
              </w:rPr>
              <w:t xml:space="preserve">Rinse function</w:t>
            </w:r>
          </w:p>
        </w:tc>
        <w:tc>
          <w:tcPr>
            <w:vAlign w:val="center"/>
          </w:tcPr>
          <w:p w:rsidR="00000000" w:rsidDel="00000000" w:rsidP="00000000" w:rsidRDefault="00000000" w:rsidRPr="00000000" w14:paraId="00000050">
            <w:pPr>
              <w:numPr>
                <w:ilvl w:val="0"/>
                <w:numId w:val="2"/>
              </w:numPr>
              <w:spacing w:after="0" w:line="240" w:lineRule="auto"/>
              <w:ind w:left="720" w:hanging="360"/>
              <w:rPr/>
            </w:pPr>
            <w:r w:rsidDel="00000000" w:rsidR="00000000" w:rsidRPr="00000000">
              <w:rPr>
                <w:rtl w:val="0"/>
              </w:rPr>
              <w:t xml:space="preserve">Function for rinsing mode</w:t>
            </w:r>
          </w:p>
        </w:tc>
      </w:tr>
      <w:tr>
        <w:trPr>
          <w:trHeight w:val="240" w:hRule="atLeast"/>
        </w:trPr>
        <w:tc>
          <w:tcPr>
            <w:vMerge w:val="continue"/>
            <w:tcMar>
              <w:top w:w="55.0" w:type="dxa"/>
              <w:left w:w="55.0" w:type="dxa"/>
              <w:bottom w:w="55.0" w:type="dxa"/>
              <w:right w:w="55.0" w:type="dxa"/>
            </w:tcMar>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53">
            <w:pPr>
              <w:spacing w:after="0" w:line="240" w:lineRule="auto"/>
              <w:rPr/>
            </w:pPr>
            <w:r w:rsidDel="00000000" w:rsidR="00000000" w:rsidRPr="00000000">
              <w:rPr>
                <w:rtl w:val="0"/>
              </w:rPr>
              <w:t xml:space="preserve">Double nozzle</w:t>
            </w:r>
          </w:p>
        </w:tc>
        <w:tc>
          <w:tcPr>
            <w:vAlign w:val="center"/>
          </w:tcPr>
          <w:p w:rsidR="00000000" w:rsidDel="00000000" w:rsidP="00000000" w:rsidRDefault="00000000" w:rsidRPr="00000000" w14:paraId="00000054">
            <w:pPr>
              <w:numPr>
                <w:ilvl w:val="0"/>
                <w:numId w:val="2"/>
              </w:numPr>
              <w:spacing w:after="0" w:line="240" w:lineRule="auto"/>
              <w:ind w:left="720" w:hanging="360"/>
              <w:rPr/>
            </w:pPr>
            <w:r w:rsidDel="00000000" w:rsidR="00000000" w:rsidRPr="00000000">
              <w:rPr>
                <w:rtl w:val="0"/>
              </w:rPr>
              <w:t xml:space="preserve">Double nozzle for simultaneous use of high pressure and atomizing nozzles inside one recipe</w:t>
            </w:r>
          </w:p>
        </w:tc>
      </w:tr>
      <w:tr>
        <w:trPr>
          <w:trHeight w:val="240" w:hRule="atLeast"/>
        </w:trPr>
        <w:tc>
          <w:tcPr>
            <w:vMerge w:val="continue"/>
            <w:tcMar>
              <w:top w:w="55.0" w:type="dxa"/>
              <w:left w:w="55.0" w:type="dxa"/>
              <w:bottom w:w="55.0" w:type="dxa"/>
              <w:right w:w="55.0" w:type="dxa"/>
            </w:tcMar>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57">
            <w:pPr>
              <w:spacing w:after="0" w:line="240" w:lineRule="auto"/>
              <w:rPr/>
            </w:pPr>
            <w:r w:rsidDel="00000000" w:rsidR="00000000" w:rsidRPr="00000000">
              <w:rPr>
                <w:rtl w:val="0"/>
              </w:rPr>
              <w:t xml:space="preserve">High pressure nozzle for the double nozzle</w:t>
            </w:r>
          </w:p>
        </w:tc>
        <w:tc>
          <w:tcPr>
            <w:vAlign w:val="center"/>
          </w:tcPr>
          <w:p w:rsidR="00000000" w:rsidDel="00000000" w:rsidP="00000000" w:rsidRDefault="00000000" w:rsidRPr="00000000" w14:paraId="00000058">
            <w:pPr>
              <w:numPr>
                <w:ilvl w:val="0"/>
                <w:numId w:val="2"/>
              </w:numPr>
              <w:spacing w:after="0" w:line="240" w:lineRule="auto"/>
              <w:ind w:left="720" w:hanging="360"/>
              <w:rPr/>
            </w:pPr>
            <w:r w:rsidDel="00000000" w:rsidR="00000000" w:rsidRPr="00000000">
              <w:rPr>
                <w:rtl w:val="0"/>
              </w:rPr>
              <w:t xml:space="preserve">High pressure nozzle suitable for the double nozzle</w:t>
            </w:r>
          </w:p>
        </w:tc>
      </w:tr>
      <w:tr>
        <w:trPr>
          <w:trHeight w:val="240" w:hRule="atLeast"/>
        </w:trPr>
        <w:tc>
          <w:tcPr>
            <w:vMerge w:val="continue"/>
            <w:tcMar>
              <w:top w:w="55.0" w:type="dxa"/>
              <w:left w:w="55.0" w:type="dxa"/>
              <w:bottom w:w="55.0" w:type="dxa"/>
              <w:right w:w="55.0" w:type="dxa"/>
            </w:tcMar>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5B">
            <w:pPr>
              <w:spacing w:after="0" w:line="240" w:lineRule="auto"/>
              <w:rPr/>
            </w:pPr>
            <w:r w:rsidDel="00000000" w:rsidR="00000000" w:rsidRPr="00000000">
              <w:rPr>
                <w:rtl w:val="0"/>
              </w:rPr>
              <w:t xml:space="preserve">Atomizing nozzle for the double nozzle</w:t>
            </w:r>
          </w:p>
        </w:tc>
        <w:tc>
          <w:tcPr>
            <w:vAlign w:val="center"/>
          </w:tcPr>
          <w:p w:rsidR="00000000" w:rsidDel="00000000" w:rsidP="00000000" w:rsidRDefault="00000000" w:rsidRPr="00000000" w14:paraId="0000005C">
            <w:pPr>
              <w:numPr>
                <w:ilvl w:val="0"/>
                <w:numId w:val="2"/>
              </w:numPr>
              <w:spacing w:after="0" w:line="240" w:lineRule="auto"/>
              <w:ind w:left="720" w:hanging="360"/>
              <w:rPr/>
            </w:pPr>
            <w:r w:rsidDel="00000000" w:rsidR="00000000" w:rsidRPr="00000000">
              <w:rPr>
                <w:rtl w:val="0"/>
              </w:rPr>
              <w:t xml:space="preserve">Atomizing nozzle with higher cleaning capability suitable for the double nozzle</w:t>
            </w:r>
          </w:p>
        </w:tc>
      </w:tr>
      <w:tr>
        <w:trPr>
          <w:trHeight w:val="240" w:hRule="atLeast"/>
        </w:trPr>
        <w:tc>
          <w:tcPr>
            <w:vMerge w:val="continue"/>
            <w:tcMar>
              <w:top w:w="55.0" w:type="dxa"/>
              <w:left w:w="55.0" w:type="dxa"/>
              <w:bottom w:w="55.0" w:type="dxa"/>
              <w:right w:w="55.0" w:type="dxa"/>
            </w:tcMar>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5F">
            <w:pPr>
              <w:spacing w:after="0" w:line="240" w:lineRule="auto"/>
              <w:rPr/>
            </w:pPr>
            <w:r w:rsidDel="00000000" w:rsidR="00000000" w:rsidRPr="00000000">
              <w:rPr>
                <w:rtl w:val="0"/>
              </w:rPr>
              <w:t xml:space="preserve">Upgradable to mechanical cleaning</w:t>
            </w:r>
          </w:p>
        </w:tc>
        <w:tc>
          <w:tcPr>
            <w:vAlign w:val="center"/>
          </w:tcPr>
          <w:p w:rsidR="00000000" w:rsidDel="00000000" w:rsidP="00000000" w:rsidRDefault="00000000" w:rsidRPr="00000000" w14:paraId="00000060">
            <w:pPr>
              <w:numPr>
                <w:ilvl w:val="0"/>
                <w:numId w:val="2"/>
              </w:numPr>
              <w:spacing w:after="0" w:line="240" w:lineRule="auto"/>
              <w:ind w:left="720" w:hanging="360"/>
              <w:rPr/>
            </w:pPr>
            <w:r w:rsidDel="00000000" w:rsidR="00000000" w:rsidRPr="00000000">
              <w:rPr>
                <w:rtl w:val="0"/>
              </w:rPr>
              <w:t xml:space="preserve">Possibility of upgrading the system to mechanical sponge cleaning</w:t>
            </w:r>
          </w:p>
        </w:tc>
      </w:tr>
      <w:tr>
        <w:trPr>
          <w:trHeight w:val="240" w:hRule="atLeast"/>
        </w:trPr>
        <w:tc>
          <w:tcPr>
            <w:vMerge w:val="continue"/>
            <w:tcMar>
              <w:top w:w="55.0" w:type="dxa"/>
              <w:left w:w="55.0" w:type="dxa"/>
              <w:bottom w:w="55.0" w:type="dxa"/>
              <w:right w:w="55.0" w:type="dxa"/>
            </w:tcMar>
            <w:vAlign w:val="cente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63">
            <w:pPr>
              <w:spacing w:after="0" w:line="240" w:lineRule="auto"/>
              <w:rPr/>
            </w:pPr>
            <w:r w:rsidDel="00000000" w:rsidR="00000000" w:rsidRPr="00000000">
              <w:rPr>
                <w:rtl w:val="0"/>
              </w:rPr>
              <w:t xml:space="preserve">Frame adapter</w:t>
            </w:r>
          </w:p>
        </w:tc>
        <w:tc>
          <w:tcPr>
            <w:vAlign w:val="center"/>
          </w:tcPr>
          <w:p w:rsidR="00000000" w:rsidDel="00000000" w:rsidP="00000000" w:rsidRDefault="00000000" w:rsidRPr="00000000" w14:paraId="00000064">
            <w:pPr>
              <w:numPr>
                <w:ilvl w:val="0"/>
                <w:numId w:val="2"/>
              </w:numPr>
              <w:spacing w:after="0" w:line="240" w:lineRule="auto"/>
              <w:ind w:left="720" w:hanging="360"/>
              <w:rPr/>
            </w:pPr>
            <w:r w:rsidDel="00000000" w:rsidR="00000000" w:rsidRPr="00000000">
              <w:rPr>
                <w:rtl w:val="0"/>
              </w:rPr>
              <w:t xml:space="preserve">Adapter for 6” and 8” frames</w:t>
            </w:r>
          </w:p>
        </w:tc>
      </w:tr>
      <w:tr>
        <w:trPr>
          <w:trHeight w:val="320" w:hRule="atLeast"/>
        </w:trPr>
        <w:tc>
          <w:tcPr>
            <w:tcMar>
              <w:top w:w="55.0" w:type="dxa"/>
              <w:left w:w="55.0" w:type="dxa"/>
              <w:bottom w:w="55.0" w:type="dxa"/>
              <w:right w:w="55.0" w:type="dxa"/>
            </w:tcMar>
            <w:vAlign w:val="center"/>
          </w:tcPr>
          <w:p w:rsidR="00000000" w:rsidDel="00000000" w:rsidP="00000000" w:rsidRDefault="00000000" w:rsidRPr="00000000" w14:paraId="00000065">
            <w:pPr>
              <w:widowControl w:val="0"/>
              <w:spacing w:after="0" w:line="240" w:lineRule="auto"/>
              <w:jc w:val="center"/>
              <w:rPr/>
            </w:pPr>
            <w:r w:rsidDel="00000000" w:rsidR="00000000" w:rsidRPr="00000000">
              <w:rPr>
                <w:rtl w:val="0"/>
              </w:rPr>
              <w:t xml:space="preserve">2</w:t>
            </w:r>
          </w:p>
        </w:tc>
        <w:tc>
          <w:tcPr>
            <w:tcMar>
              <w:top w:w="55.0" w:type="dxa"/>
              <w:left w:w="55.0" w:type="dxa"/>
              <w:bottom w:w="55.0" w:type="dxa"/>
              <w:right w:w="55.0" w:type="dxa"/>
            </w:tcMar>
            <w:vAlign w:val="center"/>
          </w:tcPr>
          <w:p w:rsidR="00000000" w:rsidDel="00000000" w:rsidP="00000000" w:rsidRDefault="00000000" w:rsidRPr="00000000" w14:paraId="00000066">
            <w:pPr>
              <w:spacing w:after="0" w:line="240" w:lineRule="auto"/>
              <w:rPr/>
            </w:pPr>
            <w:r w:rsidDel="00000000" w:rsidR="00000000" w:rsidRPr="00000000">
              <w:rPr>
                <w:rtl w:val="0"/>
              </w:rPr>
              <w:t xml:space="preserve">System control</w:t>
            </w:r>
          </w:p>
        </w:tc>
        <w:tc>
          <w:tcPr>
            <w:tcMar>
              <w:top w:w="55.0" w:type="dxa"/>
              <w:left w:w="55.0" w:type="dxa"/>
              <w:bottom w:w="55.0" w:type="dxa"/>
              <w:right w:w="55.0" w:type="dxa"/>
            </w:tcMar>
            <w:vAlign w:val="center"/>
          </w:tcPr>
          <w:p w:rsidR="00000000" w:rsidDel="00000000" w:rsidP="00000000" w:rsidRDefault="00000000" w:rsidRPr="00000000" w14:paraId="00000067">
            <w:pPr>
              <w:spacing w:after="0" w:line="240" w:lineRule="auto"/>
              <w:rPr/>
            </w:pPr>
            <w:r w:rsidDel="00000000" w:rsidR="00000000" w:rsidRPr="00000000">
              <w:rPr>
                <w:rtl w:val="0"/>
              </w:rPr>
              <w:t xml:space="preserve">System software</w:t>
            </w:r>
          </w:p>
        </w:tc>
        <w:tc>
          <w:tcPr>
            <w:vAlign w:val="center"/>
          </w:tcPr>
          <w:p w:rsidR="00000000" w:rsidDel="00000000" w:rsidP="00000000" w:rsidRDefault="00000000" w:rsidRPr="00000000" w14:paraId="00000068">
            <w:pPr>
              <w:numPr>
                <w:ilvl w:val="0"/>
                <w:numId w:val="7"/>
              </w:numPr>
              <w:spacing w:after="0" w:line="240" w:lineRule="auto"/>
              <w:ind w:left="720" w:hanging="360"/>
              <w:rPr/>
            </w:pPr>
            <w:r w:rsidDel="00000000" w:rsidR="00000000" w:rsidRPr="00000000">
              <w:rPr>
                <w:rtl w:val="0"/>
              </w:rPr>
              <w:t xml:space="preserve">Graphical User Interface</w:t>
            </w:r>
          </w:p>
          <w:p w:rsidR="00000000" w:rsidDel="00000000" w:rsidP="00000000" w:rsidRDefault="00000000" w:rsidRPr="00000000" w14:paraId="00000069">
            <w:pPr>
              <w:numPr>
                <w:ilvl w:val="0"/>
                <w:numId w:val="7"/>
              </w:numPr>
              <w:spacing w:after="0" w:line="240" w:lineRule="auto"/>
              <w:ind w:left="720" w:hanging="360"/>
              <w:rPr/>
            </w:pPr>
            <w:r w:rsidDel="00000000" w:rsidR="00000000" w:rsidRPr="00000000">
              <w:rPr>
                <w:rtl w:val="0"/>
              </w:rPr>
              <w:t xml:space="preserve">Programmable cleaning recipes</w:t>
            </w:r>
          </w:p>
          <w:p w:rsidR="00000000" w:rsidDel="00000000" w:rsidP="00000000" w:rsidRDefault="00000000" w:rsidRPr="00000000" w14:paraId="0000006A">
            <w:pPr>
              <w:numPr>
                <w:ilvl w:val="0"/>
                <w:numId w:val="7"/>
              </w:numPr>
              <w:spacing w:after="0" w:line="240" w:lineRule="auto"/>
              <w:ind w:left="720" w:hanging="360"/>
              <w:rPr/>
            </w:pPr>
            <w:r w:rsidDel="00000000" w:rsidR="00000000" w:rsidRPr="00000000">
              <w:rPr>
                <w:rtl w:val="0"/>
              </w:rPr>
              <w:t xml:space="preserve">Data Import/ Export via USB for program backup and  configuration on external PC</w:t>
            </w:r>
          </w:p>
        </w:tc>
      </w:tr>
    </w:tbl>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numPr>
          <w:ilvl w:val="0"/>
          <w:numId w:val="4"/>
        </w:numPr>
        <w:spacing w:after="0" w:line="360" w:lineRule="auto"/>
        <w:ind w:left="360" w:hanging="360"/>
        <w:jc w:val="both"/>
        <w:rPr/>
      </w:pPr>
      <w:r w:rsidDel="00000000" w:rsidR="00000000" w:rsidRPr="00000000">
        <w:rPr>
          <w:b w:val="1"/>
          <w:u w:val="single"/>
          <w:rtl w:val="0"/>
        </w:rPr>
        <w:t xml:space="preserve">Common Procurement Vocabulary code (CPV):</w:t>
      </w:r>
      <w:r w:rsidDel="00000000" w:rsidR="00000000" w:rsidRPr="00000000">
        <w:rPr>
          <w:rtl w:val="0"/>
        </w:rPr>
      </w:r>
    </w:p>
    <w:p w:rsidR="00000000" w:rsidDel="00000000" w:rsidP="00000000" w:rsidRDefault="00000000" w:rsidRPr="00000000" w14:paraId="0000006D">
      <w:pPr>
        <w:spacing w:after="0" w:line="360" w:lineRule="auto"/>
        <w:ind w:left="360" w:firstLine="0"/>
        <w:jc w:val="both"/>
        <w:rPr/>
      </w:pPr>
      <w:r w:rsidDel="00000000" w:rsidR="00000000" w:rsidRPr="00000000">
        <w:rPr>
          <w:rtl w:val="0"/>
        </w:rPr>
        <w:t xml:space="preserve">42924720-02 – Depollution devices</w:t>
      </w:r>
    </w:p>
    <w:p w:rsidR="00000000" w:rsidDel="00000000" w:rsidP="00000000" w:rsidRDefault="00000000" w:rsidRPr="00000000" w14:paraId="0000006E">
      <w:pPr>
        <w:numPr>
          <w:ilvl w:val="0"/>
          <w:numId w:val="4"/>
        </w:numPr>
        <w:spacing w:after="0" w:line="360" w:lineRule="auto"/>
        <w:ind w:left="360" w:hanging="360"/>
        <w:jc w:val="both"/>
        <w:rPr/>
      </w:pPr>
      <w:r w:rsidDel="00000000" w:rsidR="00000000" w:rsidRPr="00000000">
        <w:rPr>
          <w:b w:val="1"/>
          <w:u w:val="single"/>
          <w:rtl w:val="0"/>
        </w:rPr>
        <w:t xml:space="preserve">Additional information</w:t>
      </w: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The delivered elements are to be new, not used. The system packaging is to ensure the safety of the device and system components during transport and storage. The elements will be checked for compliance with the specification included in the detailed description of the subject of the order and in the event of non-compliance with the parameters, the elements will be returned to the Contractor. The issues of the Contractor’s liability for non-conformity of the delivered goods with the technical specification included in the detailed description of the subject of the order shall be governed by the Delivery Contract to be concluded between the Contractor and the Purchaser.</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pos="900"/>
        <w:tab w:val="center" w:pos="4536"/>
        <w:tab w:val="right" w:pos="9072"/>
      </w:tabs>
      <w:spacing w:after="0" w:line="240" w:lineRule="auto"/>
      <w:rPr>
        <w:color w:val="000000"/>
        <w:sz w:val="20"/>
        <w:szCs w:val="20"/>
      </w:rPr>
    </w:pPr>
    <w:r w:rsidDel="00000000" w:rsidR="00000000" w:rsidRPr="00000000">
      <w:rPr>
        <w:color w:val="000000"/>
        <w:sz w:val="20"/>
        <w:szCs w:val="20"/>
        <w:rtl w:val="0"/>
      </w:rPr>
      <w:tab/>
    </w:r>
    <w:r w:rsidDel="00000000" w:rsidR="00000000" w:rsidRPr="00000000">
      <w:rPr>
        <w:color w:val="000000"/>
        <w:sz w:val="20"/>
        <w:szCs w:val="20"/>
      </w:rPr>
      <w:drawing>
        <wp:inline distB="0" distT="0" distL="0" distR="0">
          <wp:extent cx="5761355" cy="79248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1355" cy="792480"/>
                  </a:xfrm>
                  <a:prstGeom prst="rect"/>
                  <a:ln/>
                </pic:spPr>
              </pic:pic>
            </a:graphicData>
          </a:graphic>
        </wp:inline>
      </w:drawing>
    </w:r>
    <w:r w:rsidDel="00000000" w:rsidR="00000000" w:rsidRPr="00000000">
      <w:rPr>
        <w:color w:val="000000"/>
        <w:sz w:val="20"/>
        <w:szCs w:val="20"/>
        <w:rtl w:val="0"/>
      </w:rPr>
      <w:tab/>
      <w:tab/>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
    <w:lvl w:ilvl="0">
      <w:start w:val="5"/>
      <w:numFmt w:val="decimal"/>
      <w:lvlText w:val="%1."/>
      <w:lvlJc w:val="left"/>
      <w:pPr>
        <w:ind w:left="360" w:hanging="360"/>
      </w:pPr>
      <w:rPr>
        <w:rFonts w:ascii="Calibri" w:cs="Calibri" w:eastAsia="Calibri" w:hAnsi="Calibri"/>
        <w:b w:val="1"/>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10.0" w:type="dxa"/>
        <w:right w:w="10.0" w:type="dxa"/>
      </w:tblCellMar>
    </w:tblPr>
  </w:style>
  <w:style w:type="table" w:styleId="a0" w:customStyle="1">
    <w:basedOn w:val="TableNormal1"/>
    <w:tblPr>
      <w:tblStyleRowBandSize w:val="1"/>
      <w:tblStyleColBandSize w:val="1"/>
      <w:tblCellMar>
        <w:top w:w="28.0" w:type="dxa"/>
        <w:left w:w="70.0" w:type="dxa"/>
        <w:bottom w:w="28.0" w:type="dxa"/>
        <w:right w:w="70.0" w:type="dxa"/>
      </w:tblCellMar>
    </w:tblPr>
  </w:style>
  <w:style w:type="table" w:styleId="a1" w:customStyle="1">
    <w:basedOn w:val="TableNormal1"/>
    <w:tblPr>
      <w:tblStyleRowBandSize w:val="1"/>
      <w:tblStyleColBandSize w:val="1"/>
      <w:tblCellMar>
        <w:top w:w="28.0" w:type="dxa"/>
        <w:left w:w="70.0" w:type="dxa"/>
        <w:bottom w:w="28.0" w:type="dxa"/>
        <w:right w:w="70.0" w:type="dxa"/>
      </w:tblCellMar>
    </w:tblPr>
  </w:style>
  <w:style w:type="paragraph" w:styleId="Default" w:customStyle="1">
    <w:name w:val="Default"/>
    <w:rsid w:val="002459FE"/>
    <w:pPr>
      <w:spacing w:after="0" w:line="240" w:lineRule="auto"/>
    </w:pPr>
    <w:rPr>
      <w:rFonts w:ascii="Times New Roman" w:cs="Times New Roman" w:eastAsia="Times New Roman" w:hAnsi="Times New Roman"/>
      <w:color w:val="000000"/>
      <w:sz w:val="24"/>
      <w:szCs w:val="20"/>
    </w:rPr>
  </w:style>
  <w:style w:type="paragraph" w:styleId="Akapitzlist">
    <w:name w:val="List Paragraph"/>
    <w:basedOn w:val="Normalny"/>
    <w:uiPriority w:val="34"/>
    <w:qFormat w:val="1"/>
    <w:rsid w:val="007C0C61"/>
    <w:pPr>
      <w:ind w:left="720"/>
      <w:contextualSpacing w:val="1"/>
    </w:pPr>
  </w:style>
  <w:style w:type="paragraph" w:styleId="Nagwek">
    <w:name w:val="header"/>
    <w:basedOn w:val="Normalny"/>
    <w:link w:val="NagwekZnak"/>
    <w:uiPriority w:val="99"/>
    <w:unhideWhenUsed w:val="1"/>
    <w:rsid w:val="00953332"/>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953332"/>
  </w:style>
  <w:style w:type="paragraph" w:styleId="Stopka">
    <w:name w:val="footer"/>
    <w:basedOn w:val="Normalny"/>
    <w:link w:val="StopkaZnak"/>
    <w:uiPriority w:val="99"/>
    <w:unhideWhenUsed w:val="1"/>
    <w:rsid w:val="00953332"/>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95333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0gW6JJGeUvLdYkBEFckBKVTpFQ==">AMUW2mVFliotrsUXv0VpRSWqjJ6JxZMVBBEJYcRsLUfvixDvHywpcrKft4B/RgMYFAwQbXF4YoyQ6dtEOSyccRhPWgPOCPiQ1+3eoeXK1fjEVjqUkvSIRL8QiVhB/XLKfZgIwBReG7aV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2020-09-02T05:39:00Z</dcterms:created>
  <dc:creator>Artur Trajnerowicz</dc:creator>
</cp:coreProperties>
</file>