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Attachment no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[place […………•], [date]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trHeight w:val="2823" w:hRule="atLeast"/>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Contractor: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 address / registry court / KRS [National Court Register]</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number / NIP [Tax ID]</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REGON [Statistical Register Number] / contact person / e-mail address / telephone number]</w:t>
            </w:r>
          </w:p>
        </w:tc>
      </w:tr>
    </w:tbl>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240" w:before="2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Contracting Party</w:t>
      </w:r>
      <w:r w:rsidDel="00000000" w:rsidR="00000000" w:rsidRPr="00000000">
        <w:rPr>
          <w:rFonts w:ascii="Times New Roman" w:cs="Times New Roman" w:eastAsia="Times New Roman" w:hAnsi="Times New Roman"/>
          <w:color w:val="000000"/>
          <w:sz w:val="22"/>
          <w:szCs w:val="22"/>
          <w:rtl w:val="0"/>
        </w:rPr>
        <w:t xml:space="preserve">: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Commercial Division of the National Court Register, </w:t>
        <w:br w:type="textWrapping"/>
        <w:t xml:space="preserve">KRS (National Court Register) No. 0000113394,</w:t>
        <w:br w:type="textWrapping"/>
        <w:t xml:space="preserve">NIP (Tax ID): 5270207340, REGON (Statistical Register Number): 010265179, with the share capital of</w:t>
        <w:br w:type="textWrapping"/>
        <w:t xml:space="preserve">PLN 729,000.00 (paid up in full)</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before="2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SPECIMEN OF PROPOSAL FORM </w:t>
        <w:br w:type="textWrapping"/>
        <w:t xml:space="preserve">FOR THE REQUEST FOR PROPOSAL OF JANUARY 20, 2021</w:t>
        <w:br w:type="textWrapping"/>
        <w:t xml:space="preserve"> NUMBER RPO-WG/</w:t>
      </w:r>
      <w:r w:rsidDel="00000000" w:rsidR="00000000" w:rsidRPr="00000000">
        <w:rPr>
          <w:rFonts w:ascii="Times New Roman" w:cs="Times New Roman" w:eastAsia="Times New Roman" w:hAnsi="Times New Roman"/>
          <w:b w:val="1"/>
          <w:sz w:val="22"/>
          <w:szCs w:val="22"/>
          <w:rtl w:val="0"/>
        </w:rPr>
        <w:t xml:space="preserve">12</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color w:val="000000"/>
          <w:sz w:val="22"/>
          <w:szCs w:val="22"/>
          <w:rtl w:val="0"/>
        </w:rPr>
        <w:t xml:space="preserve">I, the undersigned ………………………………[•], acting as ………………………………[•]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Contractor</w:t>
      </w:r>
      <w:r w:rsidDel="00000000" w:rsidR="00000000" w:rsidRPr="00000000">
        <w:rPr>
          <w:rFonts w:ascii="Times New Roman" w:cs="Times New Roman" w:eastAsia="Times New Roman" w:hAnsi="Times New Roman"/>
          <w:color w:val="000000"/>
          <w:sz w:val="22"/>
          <w:szCs w:val="22"/>
          <w:rtl w:val="0"/>
        </w:rPr>
        <w:t xml:space="preserve">”), in response to the request for proposal of January 20, 2021   number RPO-WG/</w:t>
      </w:r>
      <w:r w:rsidDel="00000000" w:rsidR="00000000" w:rsidRPr="00000000">
        <w:rPr>
          <w:rFonts w:ascii="Times New Roman" w:cs="Times New Roman" w:eastAsia="Times New Roman" w:hAnsi="Times New Roman"/>
          <w:sz w:val="22"/>
          <w:szCs w:val="22"/>
          <w:rtl w:val="0"/>
        </w:rPr>
        <w:t xml:space="preserve">12</w:t>
      </w:r>
      <w:r w:rsidDel="00000000" w:rsidR="00000000" w:rsidRPr="00000000">
        <w:rPr>
          <w:rFonts w:ascii="Times New Roman" w:cs="Times New Roman" w:eastAsia="Times New Roman" w:hAnsi="Times New Roman"/>
          <w:color w:val="000000"/>
          <w:sz w:val="22"/>
          <w:szCs w:val="22"/>
          <w:rtl w:val="0"/>
        </w:rPr>
        <w:t xml:space="preserve"> (hereinafter referred to as the “</w:t>
      </w:r>
      <w:r w:rsidDel="00000000" w:rsidR="00000000" w:rsidRPr="00000000">
        <w:rPr>
          <w:rFonts w:ascii="Times New Roman" w:cs="Times New Roman" w:eastAsia="Times New Roman" w:hAnsi="Times New Roman"/>
          <w:b w:val="1"/>
          <w:color w:val="000000"/>
          <w:sz w:val="22"/>
          <w:szCs w:val="22"/>
          <w:rtl w:val="0"/>
        </w:rPr>
        <w:t xml:space="preserve">Request for Proposal</w:t>
      </w:r>
      <w:r w:rsidDel="00000000" w:rsidR="00000000" w:rsidRPr="00000000">
        <w:rPr>
          <w:rFonts w:ascii="Times New Roman" w:cs="Times New Roman" w:eastAsia="Times New Roman" w:hAnsi="Times New Roman"/>
          <w:color w:val="000000"/>
          <w:sz w:val="22"/>
          <w:szCs w:val="22"/>
          <w:rtl w:val="0"/>
        </w:rPr>
        <w:t xml:space="preserve">”), hereby submit a proposal for  supply of</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sz w:val="22"/>
          <w:szCs w:val="22"/>
        </w:rPr>
      </w:pPr>
      <w:bookmarkStart w:colFirst="0" w:colLast="0" w:name="_heading=h.4b1yemiqic4a" w:id="2"/>
      <w:bookmarkEnd w:id="2"/>
      <w:r w:rsidDel="00000000" w:rsidR="00000000" w:rsidRPr="00000000">
        <w:rPr>
          <w:rFonts w:ascii="Times New Roman" w:cs="Times New Roman" w:eastAsia="Times New Roman" w:hAnsi="Times New Roman"/>
          <w:sz w:val="22"/>
          <w:szCs w:val="22"/>
          <w:rtl w:val="0"/>
        </w:rPr>
        <w:t xml:space="preserve">thermoelectric cooler 2TE on TO8-12 header</w:t>
        <w:tab/>
        <w:tab/>
        <w:tab/>
        <w:t xml:space="preserve"> 50 pcs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sz w:val="22"/>
          <w:szCs w:val="22"/>
        </w:rPr>
      </w:pPr>
      <w:bookmarkStart w:colFirst="0" w:colLast="0" w:name="_heading=h.71kvbe7wpuxi" w:id="3"/>
      <w:bookmarkEnd w:id="3"/>
      <w:r w:rsidDel="00000000" w:rsidR="00000000" w:rsidRPr="00000000">
        <w:rPr>
          <w:rFonts w:ascii="Times New Roman" w:cs="Times New Roman" w:eastAsia="Times New Roman" w:hAnsi="Times New Roman"/>
          <w:sz w:val="22"/>
          <w:szCs w:val="22"/>
          <w:rtl w:val="0"/>
        </w:rPr>
        <w:t xml:space="preserve">thermoelectric cooler 4TE on TO8-12 header</w:t>
        <w:tab/>
        <w:tab/>
        <w:tab/>
        <w:t xml:space="preserve"> 50 pcs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sz w:val="22"/>
          <w:szCs w:val="22"/>
        </w:rPr>
      </w:pPr>
      <w:bookmarkStart w:colFirst="0" w:colLast="0" w:name="_heading=h.76hhjglm7bqe" w:id="4"/>
      <w:bookmarkEnd w:id="4"/>
      <w:r w:rsidDel="00000000" w:rsidR="00000000" w:rsidRPr="00000000">
        <w:rPr>
          <w:rFonts w:ascii="Times New Roman" w:cs="Times New Roman" w:eastAsia="Times New Roman" w:hAnsi="Times New Roman"/>
          <w:sz w:val="22"/>
          <w:szCs w:val="22"/>
          <w:rtl w:val="0"/>
        </w:rPr>
        <w:t xml:space="preserve">header TO8</w:t>
        <w:tab/>
        <w:tab/>
        <w:tab/>
        <w:tab/>
        <w:tab/>
        <w:tab/>
        <w:tab/>
        <w:t xml:space="preserve">200 pcs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bookmarkStart w:colFirst="0" w:colLast="0" w:name="_heading=h.bw6sve5b3jgu" w:id="5"/>
      <w:bookmarkEnd w:id="5"/>
      <w:r w:rsidDel="00000000" w:rsidR="00000000" w:rsidRPr="00000000">
        <w:rPr>
          <w:rFonts w:ascii="Times New Roman" w:cs="Times New Roman" w:eastAsia="Times New Roman" w:hAnsi="Times New Roman"/>
          <w:color w:val="000000"/>
          <w:sz w:val="22"/>
          <w:szCs w:val="22"/>
          <w:rtl w:val="0"/>
        </w:rPr>
        <w:t xml:space="preserve">wedged windows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w:t>
      </w:r>
      <w:r w:rsidDel="00000000" w:rsidR="00000000" w:rsidRPr="00000000">
        <w:rPr>
          <w:rFonts w:ascii="Times New Roman" w:cs="Times New Roman" w:eastAsia="Times New Roman" w:hAnsi="Times New Roman"/>
          <w:color w:val="000000"/>
          <w:sz w:val="22"/>
          <w:szCs w:val="22"/>
          <w:rtl w:val="0"/>
        </w:rPr>
        <w:t xml:space="preserve">”) for an implementation by VIGO System Spółka Akcyjna, Joint-Stock Company with registered office in Ożarów Mazowiecki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Contracting Party”</w:t>
      </w:r>
      <w:r w:rsidDel="00000000" w:rsidR="00000000" w:rsidRPr="00000000">
        <w:rPr>
          <w:rFonts w:ascii="Times New Roman" w:cs="Times New Roman" w:eastAsia="Times New Roman" w:hAnsi="Times New Roman"/>
          <w:color w:val="000000"/>
          <w:sz w:val="22"/>
          <w:szCs w:val="22"/>
          <w:rtl w:val="0"/>
        </w:rPr>
        <w:t xml:space="preserve">) of a project called “Multi-element infrared detectors for non-contact multifunctional diagnostics” within the Regional Operational Programme of Mazovia Province 2014 – 2020 (RPO WM 2014 – 2020), application number: RPMA.01.02.00-14-b451/18 Agreement February 28, 2020, </w:t>
        <w:br w:type="textWrapping"/>
        <w:t xml:space="preserve">No. RPMA.01.02.00-14-b451/18 concluded with the Mazovian Unit for the Implementation of EU Programmes – in accordance with the terms and conditions of the Contract described in the Request for Proposal.</w:t>
      </w:r>
    </w:p>
    <w:p w:rsidR="00000000" w:rsidDel="00000000" w:rsidP="00000000" w:rsidRDefault="00000000" w:rsidRPr="00000000" w14:paraId="0000001C">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price offered for the Subject of the Contract</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1fob9te" w:id="6"/>
      <w:bookmarkEnd w:id="6"/>
      <w:r w:rsidDel="00000000" w:rsidR="00000000" w:rsidRPr="00000000">
        <w:rPr>
          <w:rFonts w:ascii="Times New Roman" w:cs="Times New Roman" w:eastAsia="Times New Roman" w:hAnsi="Times New Roman"/>
          <w:color w:val="000000"/>
          <w:sz w:val="22"/>
          <w:szCs w:val="22"/>
          <w:rtl w:val="0"/>
        </w:rPr>
        <w:t xml:space="preserve">Net Price: [………………………•] (in words: [………………………•]).</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Gross Price: [………………………•]  (in words: [………………………•]).</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Value Added Tax: [………………………•] (in words: [………………………•]).</w:t>
      </w:r>
    </w:p>
    <w:p w:rsidR="00000000" w:rsidDel="00000000" w:rsidP="00000000" w:rsidRDefault="00000000" w:rsidRPr="00000000" w14:paraId="00000020">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Acceptance table (fill yes/no):</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21">
      <w:pPr>
        <w:spacing w:line="360" w:lineRule="auto"/>
        <w:ind w:left="0" w:hanging="2"/>
        <w:rPr>
          <w:b w:val="1"/>
          <w:sz w:val="22"/>
          <w:szCs w:val="22"/>
          <w:u w:val="single"/>
        </w:rPr>
      </w:pPr>
      <w:r w:rsidDel="00000000" w:rsidR="00000000" w:rsidRPr="00000000">
        <w:rPr>
          <w:rtl w:val="0"/>
        </w:rPr>
      </w:r>
    </w:p>
    <w:tbl>
      <w:tblPr>
        <w:tblStyle w:val="Table2"/>
        <w:tblW w:w="1006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6"/>
        <w:gridCol w:w="1328"/>
        <w:gridCol w:w="1494"/>
        <w:gridCol w:w="2990"/>
        <w:gridCol w:w="2990"/>
        <w:tblGridChange w:id="0">
          <w:tblGrid>
            <w:gridCol w:w="1266"/>
            <w:gridCol w:w="1328"/>
            <w:gridCol w:w="1494"/>
            <w:gridCol w:w="2990"/>
            <w:gridCol w:w="2990"/>
          </w:tblGrid>
        </w:tblGridChange>
      </w:tblGrid>
      <w:tr>
        <w:trPr>
          <w:trHeight w:val="240" w:hRule="atLeast"/>
        </w:trPr>
        <w:tc>
          <w:tcPr>
            <w:gridSpan w:val="2"/>
            <w:shd w:fill="dddddd" w:val="clear"/>
            <w:vAlign w:val="center"/>
          </w:tcPr>
          <w:p w:rsidR="00000000" w:rsidDel="00000000" w:rsidP="00000000" w:rsidRDefault="00000000" w:rsidRPr="00000000" w14:paraId="00000022">
            <w:pPr>
              <w:widowControl w:val="0"/>
              <w:ind w:left="0" w:hanging="2"/>
              <w:jc w:val="center"/>
              <w:rPr>
                <w:b w:val="1"/>
              </w:rPr>
            </w:pPr>
            <w:r w:rsidDel="00000000" w:rsidR="00000000" w:rsidRPr="00000000">
              <w:rPr>
                <w:b w:val="1"/>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4">
            <w:pPr>
              <w:widowControl w:val="0"/>
              <w:ind w:left="0" w:hanging="2"/>
              <w:jc w:val="center"/>
              <w:rPr>
                <w:b w:val="1"/>
              </w:rPr>
            </w:pPr>
            <w:r w:rsidDel="00000000" w:rsidR="00000000" w:rsidRPr="00000000">
              <w:rPr>
                <w:b w:val="1"/>
                <w:rtl w:val="0"/>
              </w:rPr>
              <w:t xml:space="preserve">Parametrer</w:t>
            </w:r>
          </w:p>
        </w:tc>
        <w:tc>
          <w:tcPr>
            <w:shd w:fill="dddddd" w:val="clear"/>
          </w:tcPr>
          <w:p w:rsidR="00000000" w:rsidDel="00000000" w:rsidP="00000000" w:rsidRDefault="00000000" w:rsidRPr="00000000" w14:paraId="00000025">
            <w:pPr>
              <w:widowControl w:val="0"/>
              <w:ind w:left="0" w:hanging="2"/>
              <w:jc w:val="center"/>
              <w:rPr>
                <w:b w:val="1"/>
              </w:rPr>
            </w:pPr>
            <w:r w:rsidDel="00000000" w:rsidR="00000000" w:rsidRPr="00000000">
              <w:rPr>
                <w:b w:val="1"/>
                <w:rtl w:val="0"/>
              </w:rPr>
              <w:t xml:space="preserve">Specification</w:t>
            </w:r>
          </w:p>
        </w:tc>
        <w:tc>
          <w:tcPr>
            <w:shd w:fill="dddddd" w:val="clear"/>
          </w:tcPr>
          <w:p w:rsidR="00000000" w:rsidDel="00000000" w:rsidP="00000000" w:rsidRDefault="00000000" w:rsidRPr="00000000" w14:paraId="00000026">
            <w:pPr>
              <w:widowControl w:val="0"/>
              <w:ind w:left="0" w:hanging="2"/>
              <w:jc w:val="center"/>
              <w:rPr>
                <w:b w:val="1"/>
              </w:rPr>
            </w:pPr>
            <w:r w:rsidDel="00000000" w:rsidR="00000000" w:rsidRPr="00000000">
              <w:rPr>
                <w:b w:val="1"/>
                <w:rtl w:val="0"/>
              </w:rPr>
              <w:t xml:space="preserve">Yes/No</w:t>
            </w:r>
          </w:p>
        </w:tc>
      </w:tr>
      <w:tr>
        <w:trPr>
          <w:trHeight w:val="330" w:hRule="atLeast"/>
        </w:trPr>
        <w:tc>
          <w:tcPr>
            <w:vMerge w:val="restart"/>
            <w:vAlign w:val="center"/>
          </w:tcPr>
          <w:p w:rsidR="00000000" w:rsidDel="00000000" w:rsidP="00000000" w:rsidRDefault="00000000" w:rsidRPr="00000000" w14:paraId="00000027">
            <w:pPr>
              <w:ind w:left="0" w:hanging="2"/>
              <w:jc w:val="both"/>
              <w:rPr>
                <w:b w:val="1"/>
                <w:sz w:val="22"/>
                <w:szCs w:val="22"/>
                <w:highlight w:val="white"/>
              </w:rPr>
            </w:pPr>
            <w:r w:rsidDel="00000000" w:rsidR="00000000" w:rsidRPr="00000000">
              <w:rPr>
                <w:b w:val="1"/>
                <w:sz w:val="22"/>
                <w:szCs w:val="22"/>
                <w:highlight w:val="white"/>
                <w:rtl w:val="0"/>
              </w:rPr>
              <w:t xml:space="preserve">Thermoelectric cooler 2TE on TO8 12 pin heade</w:t>
            </w:r>
            <w:r w:rsidDel="00000000" w:rsidR="00000000" w:rsidRPr="00000000">
              <w:rPr>
                <w:sz w:val="22"/>
                <w:szCs w:val="22"/>
                <w:highlight w:val="white"/>
                <w:rtl w:val="0"/>
              </w:rPr>
              <w:t xml:space="preserve">r</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28">
            <w:pPr>
              <w:widowControl w:val="0"/>
              <w:ind w:left="0" w:hanging="2"/>
              <w:rPr>
                <w:sz w:val="22"/>
                <w:szCs w:val="22"/>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9">
            <w:pPr>
              <w:ind w:left="0" w:hanging="2"/>
              <w:rPr>
                <w:sz w:val="22"/>
                <w:szCs w:val="22"/>
                <w:highlight w:val="white"/>
              </w:rPr>
            </w:pPr>
            <w:r w:rsidDel="00000000" w:rsidR="00000000" w:rsidRPr="00000000">
              <w:rPr>
                <w:sz w:val="22"/>
                <w:szCs w:val="22"/>
                <w:highlight w:val="white"/>
                <w:rtl w:val="0"/>
              </w:rPr>
              <w:t xml:space="preserve">Top Ceramics (cold side)</w:t>
            </w:r>
          </w:p>
        </w:tc>
        <w:tc>
          <w:tcPr/>
          <w:p w:rsidR="00000000" w:rsidDel="00000000" w:rsidP="00000000" w:rsidRDefault="00000000" w:rsidRPr="00000000" w14:paraId="0000002A">
            <w:pPr>
              <w:ind w:left="0" w:hanging="2"/>
              <w:rPr>
                <w:sz w:val="22"/>
                <w:szCs w:val="22"/>
                <w:highlight w:val="white"/>
              </w:rPr>
            </w:pPr>
            <w:r w:rsidDel="00000000" w:rsidR="00000000" w:rsidRPr="00000000">
              <w:rPr>
                <w:sz w:val="22"/>
                <w:szCs w:val="22"/>
                <w:highlight w:val="white"/>
                <w:rtl w:val="0"/>
              </w:rPr>
              <w:t xml:space="preserve">material Al2O3 blank, no metallization, upper stage size 3,2x3,2mm 0,1mm, Ra&lt;0,1</w:t>
            </w:r>
          </w:p>
        </w:tc>
        <w:tc>
          <w:tcPr/>
          <w:p w:rsidR="00000000" w:rsidDel="00000000" w:rsidP="00000000" w:rsidRDefault="00000000" w:rsidRPr="00000000" w14:paraId="0000002B">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E">
            <w:pPr>
              <w:ind w:left="0" w:hanging="2"/>
              <w:rPr>
                <w:sz w:val="22"/>
                <w:szCs w:val="22"/>
                <w:highlight w:val="white"/>
              </w:rPr>
            </w:pPr>
            <w:r w:rsidDel="00000000" w:rsidR="00000000" w:rsidRPr="00000000">
              <w:rPr>
                <w:sz w:val="22"/>
                <w:szCs w:val="22"/>
                <w:highlight w:val="white"/>
                <w:rtl w:val="0"/>
              </w:rPr>
              <w:t xml:space="preserve">Middle ceramics</w:t>
            </w:r>
          </w:p>
        </w:tc>
        <w:tc>
          <w:tcPr/>
          <w:p w:rsidR="00000000" w:rsidDel="00000000" w:rsidP="00000000" w:rsidRDefault="00000000" w:rsidRPr="00000000" w14:paraId="0000002F">
            <w:pPr>
              <w:ind w:left="0" w:hanging="2"/>
              <w:rPr>
                <w:sz w:val="22"/>
                <w:szCs w:val="22"/>
                <w:highlight w:val="white"/>
              </w:rPr>
            </w:pPr>
            <w:r w:rsidDel="00000000" w:rsidR="00000000" w:rsidRPr="00000000">
              <w:rPr>
                <w:sz w:val="22"/>
                <w:szCs w:val="22"/>
                <w:highlight w:val="white"/>
                <w:rtl w:val="0"/>
              </w:rPr>
              <w:t xml:space="preserve">Al2O3 with VIAS</w:t>
            </w:r>
          </w:p>
        </w:tc>
        <w:tc>
          <w:tcPr/>
          <w:p w:rsidR="00000000" w:rsidDel="00000000" w:rsidP="00000000" w:rsidRDefault="00000000" w:rsidRPr="00000000" w14:paraId="00000030">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ind w:left="0" w:hanging="2"/>
              <w:rPr>
                <w:sz w:val="22"/>
                <w:szCs w:val="22"/>
                <w:highlight w:val="white"/>
              </w:rPr>
            </w:pPr>
            <w:r w:rsidDel="00000000" w:rsidR="00000000" w:rsidRPr="00000000">
              <w:rPr>
                <w:sz w:val="22"/>
                <w:szCs w:val="22"/>
                <w:highlight w:val="white"/>
                <w:rtl w:val="0"/>
              </w:rPr>
              <w:t xml:space="preserve">bottom ceramics</w:t>
            </w:r>
          </w:p>
        </w:tc>
        <w:tc>
          <w:tcPr/>
          <w:p w:rsidR="00000000" w:rsidDel="00000000" w:rsidP="00000000" w:rsidRDefault="00000000" w:rsidRPr="00000000" w14:paraId="00000034">
            <w:pPr>
              <w:ind w:left="0" w:hanging="2"/>
              <w:rPr>
                <w:sz w:val="22"/>
                <w:szCs w:val="22"/>
                <w:highlight w:val="white"/>
              </w:rPr>
            </w:pPr>
            <w:r w:rsidDel="00000000" w:rsidR="00000000" w:rsidRPr="00000000">
              <w:rPr>
                <w:sz w:val="22"/>
                <w:szCs w:val="22"/>
                <w:highlight w:val="white"/>
                <w:rtl w:val="0"/>
              </w:rPr>
              <w:t xml:space="preserve">Al2O3, Au plated 0,2 um</w:t>
            </w:r>
          </w:p>
        </w:tc>
        <w:tc>
          <w:tcPr/>
          <w:p w:rsidR="00000000" w:rsidDel="00000000" w:rsidP="00000000" w:rsidRDefault="00000000" w:rsidRPr="00000000" w14:paraId="00000035">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8">
            <w:pPr>
              <w:ind w:left="0" w:hanging="2"/>
              <w:rPr>
                <w:sz w:val="22"/>
                <w:szCs w:val="22"/>
                <w:highlight w:val="white"/>
              </w:rPr>
            </w:pPr>
            <w:r w:rsidDel="00000000" w:rsidR="00000000" w:rsidRPr="00000000">
              <w:rPr>
                <w:sz w:val="22"/>
                <w:szCs w:val="22"/>
                <w:highlight w:val="white"/>
                <w:rtl w:val="0"/>
              </w:rPr>
              <w:t xml:space="preserve">pellets</w:t>
            </w:r>
          </w:p>
        </w:tc>
        <w:tc>
          <w:tcPr/>
          <w:p w:rsidR="00000000" w:rsidDel="00000000" w:rsidP="00000000" w:rsidRDefault="00000000" w:rsidRPr="00000000" w14:paraId="00000039">
            <w:pPr>
              <w:ind w:left="0" w:hanging="2"/>
              <w:rPr>
                <w:sz w:val="22"/>
                <w:szCs w:val="22"/>
                <w:highlight w:val="white"/>
              </w:rPr>
            </w:pPr>
            <w:r w:rsidDel="00000000" w:rsidR="00000000" w:rsidRPr="00000000">
              <w:rPr>
                <w:sz w:val="22"/>
                <w:szCs w:val="22"/>
                <w:highlight w:val="white"/>
                <w:rtl w:val="0"/>
              </w:rPr>
              <w:t xml:space="preserve">BiTe with Ni barrier layer</w:t>
            </w:r>
          </w:p>
        </w:tc>
        <w:tc>
          <w:tcPr/>
          <w:p w:rsidR="00000000" w:rsidDel="00000000" w:rsidP="00000000" w:rsidRDefault="00000000" w:rsidRPr="00000000" w14:paraId="0000003A">
            <w:pPr>
              <w:ind w:left="0" w:hanging="2"/>
              <w:rPr>
                <w:sz w:val="22"/>
                <w:szCs w:val="22"/>
                <w:highlight w:val="white"/>
              </w:rPr>
            </w:pPr>
            <w:r w:rsidDel="00000000" w:rsidR="00000000" w:rsidRPr="00000000">
              <w:rPr>
                <w:rtl w:val="0"/>
              </w:rPr>
            </w:r>
          </w:p>
        </w:tc>
      </w:tr>
      <w:tr>
        <w:trPr>
          <w:trHeight w:val="343" w:hRule="atLeast"/>
        </w:trPr>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3D">
            <w:pPr>
              <w:ind w:left="0" w:hanging="2"/>
              <w:rPr>
                <w:sz w:val="22"/>
                <w:szCs w:val="22"/>
                <w:highlight w:val="white"/>
              </w:rPr>
            </w:pPr>
            <w:r w:rsidDel="00000000" w:rsidR="00000000" w:rsidRPr="00000000">
              <w:rPr>
                <w:sz w:val="22"/>
                <w:szCs w:val="22"/>
                <w:highlight w:val="white"/>
                <w:rtl w:val="0"/>
              </w:rPr>
              <w:t xml:space="preserve">terminal wires AWG32</w:t>
            </w:r>
          </w:p>
        </w:tc>
        <w:tc>
          <w:tcPr>
            <w:tcBorders>
              <w:bottom w:color="000000" w:space="0" w:sz="4" w:val="single"/>
            </w:tcBorders>
          </w:tcPr>
          <w:p w:rsidR="00000000" w:rsidDel="00000000" w:rsidP="00000000" w:rsidRDefault="00000000" w:rsidRPr="00000000" w14:paraId="0000003E">
            <w:pPr>
              <w:ind w:left="0" w:hanging="2"/>
              <w:rPr>
                <w:sz w:val="22"/>
                <w:szCs w:val="22"/>
                <w:highlight w:val="white"/>
              </w:rPr>
            </w:pPr>
            <w:r w:rsidDel="00000000" w:rsidR="00000000" w:rsidRPr="00000000">
              <w:rPr>
                <w:sz w:val="22"/>
                <w:szCs w:val="22"/>
                <w:highlight w:val="white"/>
                <w:rtl w:val="0"/>
              </w:rPr>
              <w:t xml:space="preserve">blank tinned copper 0,202 mm dia</w:t>
            </w:r>
          </w:p>
        </w:tc>
        <w:tc>
          <w:tcPr>
            <w:tcBorders>
              <w:bottom w:color="000000" w:space="0" w:sz="4" w:val="single"/>
            </w:tcBorders>
          </w:tcPr>
          <w:p w:rsidR="00000000" w:rsidDel="00000000" w:rsidP="00000000" w:rsidRDefault="00000000" w:rsidRPr="00000000" w14:paraId="0000003F">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ind w:left="0" w:hanging="2"/>
              <w:rPr>
                <w:sz w:val="22"/>
                <w:szCs w:val="22"/>
                <w:highlight w:val="white"/>
              </w:rPr>
            </w:pPr>
            <w:r w:rsidDel="00000000" w:rsidR="00000000" w:rsidRPr="00000000">
              <w:rPr>
                <w:sz w:val="22"/>
                <w:szCs w:val="22"/>
                <w:highlight w:val="white"/>
                <w:rtl w:val="0"/>
              </w:rPr>
              <w:t xml:space="preserve">Assembling Solder</w:t>
            </w:r>
          </w:p>
        </w:tc>
        <w:tc>
          <w:tcPr/>
          <w:p w:rsidR="00000000" w:rsidDel="00000000" w:rsidP="00000000" w:rsidRDefault="00000000" w:rsidRPr="00000000" w14:paraId="00000043">
            <w:pPr>
              <w:ind w:left="0" w:hanging="2"/>
              <w:rPr>
                <w:sz w:val="22"/>
                <w:szCs w:val="22"/>
                <w:highlight w:val="white"/>
              </w:rPr>
            </w:pPr>
            <w:r w:rsidDel="00000000" w:rsidR="00000000" w:rsidRPr="00000000">
              <w:rPr>
                <w:sz w:val="22"/>
                <w:szCs w:val="22"/>
                <w:highlight w:val="white"/>
                <w:rtl w:val="0"/>
              </w:rPr>
              <w:t xml:space="preserve">Sn-Sb lead free RoHs Tmelt = 230°C</w:t>
            </w:r>
          </w:p>
        </w:tc>
        <w:tc>
          <w:tcPr/>
          <w:p w:rsidR="00000000" w:rsidDel="00000000" w:rsidP="00000000" w:rsidRDefault="00000000" w:rsidRPr="00000000" w14:paraId="00000044">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7">
            <w:pPr>
              <w:ind w:left="0" w:hanging="2"/>
              <w:rPr>
                <w:sz w:val="22"/>
                <w:szCs w:val="22"/>
                <w:highlight w:val="white"/>
              </w:rPr>
            </w:pPr>
            <w:r w:rsidDel="00000000" w:rsidR="00000000" w:rsidRPr="00000000">
              <w:rPr>
                <w:sz w:val="22"/>
                <w:szCs w:val="22"/>
                <w:highlight w:val="white"/>
                <w:rtl w:val="0"/>
              </w:rPr>
              <w:t xml:space="preserve">TEC bonding</w:t>
            </w:r>
          </w:p>
        </w:tc>
        <w:tc>
          <w:tcPr/>
          <w:p w:rsidR="00000000" w:rsidDel="00000000" w:rsidP="00000000" w:rsidRDefault="00000000" w:rsidRPr="00000000" w14:paraId="00000048">
            <w:pPr>
              <w:ind w:left="0" w:hanging="2"/>
              <w:rPr>
                <w:sz w:val="22"/>
                <w:szCs w:val="22"/>
                <w:highlight w:val="white"/>
              </w:rPr>
            </w:pPr>
            <w:r w:rsidDel="00000000" w:rsidR="00000000" w:rsidRPr="00000000">
              <w:rPr>
                <w:sz w:val="22"/>
                <w:szCs w:val="22"/>
                <w:highlight w:val="white"/>
                <w:rtl w:val="0"/>
              </w:rPr>
              <w:t xml:space="preserve">Sn-Sb lead free RoHs Tmelt = 230°C</w:t>
            </w:r>
          </w:p>
        </w:tc>
        <w:tc>
          <w:tcPr/>
          <w:p w:rsidR="00000000" w:rsidDel="00000000" w:rsidP="00000000" w:rsidRDefault="00000000" w:rsidRPr="00000000" w14:paraId="00000049">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C">
            <w:pPr>
              <w:ind w:left="0" w:hanging="2"/>
              <w:rPr>
                <w:sz w:val="22"/>
                <w:szCs w:val="22"/>
                <w:highlight w:val="white"/>
              </w:rPr>
            </w:pPr>
            <w:r w:rsidDel="00000000" w:rsidR="00000000" w:rsidRPr="00000000">
              <w:rPr>
                <w:sz w:val="22"/>
                <w:szCs w:val="22"/>
                <w:highlight w:val="white"/>
                <w:rtl w:val="0"/>
              </w:rPr>
              <w:t xml:space="preserve">Header</w:t>
            </w:r>
          </w:p>
        </w:tc>
        <w:tc>
          <w:tcPr/>
          <w:p w:rsidR="00000000" w:rsidDel="00000000" w:rsidP="00000000" w:rsidRDefault="00000000" w:rsidRPr="00000000" w14:paraId="0000004D">
            <w:pPr>
              <w:ind w:left="0" w:hanging="2"/>
              <w:rPr>
                <w:sz w:val="22"/>
                <w:szCs w:val="22"/>
                <w:highlight w:val="white"/>
              </w:rPr>
            </w:pPr>
            <w:r w:rsidDel="00000000" w:rsidR="00000000" w:rsidRPr="00000000">
              <w:rPr>
                <w:sz w:val="22"/>
                <w:szCs w:val="22"/>
                <w:highlight w:val="white"/>
                <w:rtl w:val="0"/>
              </w:rPr>
              <w:t xml:space="preserve">TO812.01</w:t>
            </w:r>
          </w:p>
        </w:tc>
        <w:tc>
          <w:tcPr/>
          <w:p w:rsidR="00000000" w:rsidDel="00000000" w:rsidP="00000000" w:rsidRDefault="00000000" w:rsidRPr="00000000" w14:paraId="0000004E">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1">
            <w:pPr>
              <w:ind w:left="0" w:hanging="2"/>
              <w:rPr>
                <w:sz w:val="22"/>
                <w:szCs w:val="22"/>
                <w:highlight w:val="white"/>
              </w:rPr>
            </w:pPr>
            <w:r w:rsidDel="00000000" w:rsidR="00000000" w:rsidRPr="00000000">
              <w:rPr>
                <w:sz w:val="22"/>
                <w:szCs w:val="22"/>
                <w:highlight w:val="white"/>
                <w:rtl w:val="0"/>
              </w:rPr>
              <w:t xml:space="preserve">TEC mounting</w:t>
            </w:r>
          </w:p>
        </w:tc>
        <w:tc>
          <w:tcPr/>
          <w:p w:rsidR="00000000" w:rsidDel="00000000" w:rsidP="00000000" w:rsidRDefault="00000000" w:rsidRPr="00000000" w14:paraId="00000052">
            <w:pPr>
              <w:ind w:left="0" w:hanging="2"/>
              <w:rPr>
                <w:sz w:val="22"/>
                <w:szCs w:val="22"/>
                <w:highlight w:val="white"/>
              </w:rPr>
            </w:pPr>
            <w:r w:rsidDel="00000000" w:rsidR="00000000" w:rsidRPr="00000000">
              <w:rPr>
                <w:sz w:val="22"/>
                <w:szCs w:val="22"/>
                <w:highlight w:val="white"/>
                <w:rtl w:val="0"/>
              </w:rPr>
              <w:t xml:space="preserve">lead free RoHs Tmelt = 206°C</w:t>
            </w:r>
          </w:p>
        </w:tc>
        <w:tc>
          <w:tcPr/>
          <w:p w:rsidR="00000000" w:rsidDel="00000000" w:rsidP="00000000" w:rsidRDefault="00000000" w:rsidRPr="00000000" w14:paraId="00000053">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6">
            <w:pPr>
              <w:ind w:left="0" w:hanging="2"/>
              <w:rPr>
                <w:sz w:val="22"/>
                <w:szCs w:val="22"/>
                <w:highlight w:val="white"/>
              </w:rPr>
            </w:pPr>
            <w:r w:rsidDel="00000000" w:rsidR="00000000" w:rsidRPr="00000000">
              <w:rPr>
                <w:sz w:val="22"/>
                <w:szCs w:val="22"/>
                <w:highlight w:val="white"/>
                <w:rtl w:val="0"/>
              </w:rPr>
              <w:t xml:space="preserve">Height </w:t>
            </w:r>
          </w:p>
        </w:tc>
        <w:tc>
          <w:tcPr/>
          <w:p w:rsidR="00000000" w:rsidDel="00000000" w:rsidP="00000000" w:rsidRDefault="00000000" w:rsidRPr="00000000" w14:paraId="00000057">
            <w:pPr>
              <w:ind w:left="0" w:hanging="2"/>
              <w:rPr>
                <w:sz w:val="22"/>
                <w:szCs w:val="22"/>
                <w:highlight w:val="yellow"/>
              </w:rPr>
            </w:pPr>
            <w:r w:rsidDel="00000000" w:rsidR="00000000" w:rsidRPr="00000000">
              <w:rPr>
                <w:sz w:val="22"/>
                <w:szCs w:val="22"/>
                <w:highlight w:val="white"/>
                <w:rtl w:val="0"/>
              </w:rPr>
              <w:t xml:space="preserve">3.70±0.15</w:t>
            </w:r>
            <w:r w:rsidDel="00000000" w:rsidR="00000000" w:rsidRPr="00000000">
              <w:rPr>
                <w:rtl w:val="0"/>
              </w:rPr>
            </w:r>
          </w:p>
        </w:tc>
        <w:tc>
          <w:tcPr/>
          <w:p w:rsidR="00000000" w:rsidDel="00000000" w:rsidP="00000000" w:rsidRDefault="00000000" w:rsidRPr="00000000" w14:paraId="00000058">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B">
            <w:pPr>
              <w:ind w:left="0" w:hanging="2"/>
              <w:rPr>
                <w:sz w:val="22"/>
                <w:szCs w:val="22"/>
                <w:highlight w:val="white"/>
              </w:rPr>
            </w:pPr>
            <w:r w:rsidDel="00000000" w:rsidR="00000000" w:rsidRPr="00000000">
              <w:rPr>
                <w:sz w:val="22"/>
                <w:szCs w:val="22"/>
                <w:highlight w:val="white"/>
                <w:rtl w:val="0"/>
              </w:rPr>
              <w:t xml:space="preserve">ΔTmax K </w:t>
            </w:r>
          </w:p>
        </w:tc>
        <w:tc>
          <w:tcPr/>
          <w:p w:rsidR="00000000" w:rsidDel="00000000" w:rsidP="00000000" w:rsidRDefault="00000000" w:rsidRPr="00000000" w14:paraId="0000005C">
            <w:pPr>
              <w:ind w:left="0" w:hanging="2"/>
              <w:rPr>
                <w:sz w:val="22"/>
                <w:szCs w:val="22"/>
                <w:highlight w:val="yellow"/>
              </w:rPr>
            </w:pPr>
            <w:r w:rsidDel="00000000" w:rsidR="00000000" w:rsidRPr="00000000">
              <w:rPr>
                <w:sz w:val="22"/>
                <w:szCs w:val="22"/>
                <w:highlight w:val="white"/>
                <w:rtl w:val="0"/>
              </w:rPr>
              <w:t xml:space="preserve">94±3</w:t>
            </w:r>
            <w:r w:rsidDel="00000000" w:rsidR="00000000" w:rsidRPr="00000000">
              <w:rPr>
                <w:rtl w:val="0"/>
              </w:rPr>
            </w:r>
          </w:p>
        </w:tc>
        <w:tc>
          <w:tcPr/>
          <w:p w:rsidR="00000000" w:rsidDel="00000000" w:rsidP="00000000" w:rsidRDefault="00000000" w:rsidRPr="00000000" w14:paraId="0000005D">
            <w:pPr>
              <w:ind w:left="0" w:hanging="2"/>
              <w:rPr>
                <w:sz w:val="22"/>
                <w:szCs w:val="22"/>
                <w:highlight w:val="white"/>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0">
            <w:pPr>
              <w:ind w:left="0" w:hanging="2"/>
              <w:rPr>
                <w:sz w:val="22"/>
                <w:szCs w:val="22"/>
                <w:highlight w:val="white"/>
              </w:rPr>
            </w:pPr>
            <w:r w:rsidDel="00000000" w:rsidR="00000000" w:rsidRPr="00000000">
              <w:rPr>
                <w:sz w:val="22"/>
                <w:szCs w:val="22"/>
                <w:highlight w:val="white"/>
                <w:rtl w:val="0"/>
              </w:rPr>
              <w:t xml:space="preserve">Qmax W</w:t>
            </w:r>
          </w:p>
        </w:tc>
        <w:tc>
          <w:tcPr/>
          <w:p w:rsidR="00000000" w:rsidDel="00000000" w:rsidP="00000000" w:rsidRDefault="00000000" w:rsidRPr="00000000" w14:paraId="00000061">
            <w:pPr>
              <w:ind w:left="0" w:hanging="2"/>
              <w:rPr>
                <w:sz w:val="22"/>
                <w:szCs w:val="22"/>
                <w:highlight w:val="yellow"/>
              </w:rPr>
            </w:pPr>
            <w:r w:rsidDel="00000000" w:rsidR="00000000" w:rsidRPr="00000000">
              <w:rPr>
                <w:sz w:val="22"/>
                <w:szCs w:val="22"/>
                <w:highlight w:val="white"/>
                <w:rtl w:val="0"/>
              </w:rPr>
              <w:t xml:space="preserve">0.4±0.04</w:t>
            </w:r>
            <w:r w:rsidDel="00000000" w:rsidR="00000000" w:rsidRPr="00000000">
              <w:rPr>
                <w:rtl w:val="0"/>
              </w:rPr>
            </w:r>
          </w:p>
        </w:tc>
        <w:tc>
          <w:tcPr/>
          <w:p w:rsidR="00000000" w:rsidDel="00000000" w:rsidP="00000000" w:rsidRDefault="00000000" w:rsidRPr="00000000" w14:paraId="00000062">
            <w:pPr>
              <w:ind w:left="0" w:hanging="2"/>
              <w:rPr>
                <w:sz w:val="22"/>
                <w:szCs w:val="22"/>
                <w:highlight w:val="white"/>
              </w:rPr>
            </w:pPr>
            <w:r w:rsidDel="00000000" w:rsidR="00000000" w:rsidRPr="00000000">
              <w:rPr>
                <w:rtl w:val="0"/>
              </w:rPr>
            </w:r>
          </w:p>
        </w:tc>
      </w:tr>
      <w:tr>
        <w:trPr>
          <w:trHeight w:val="1009" w:hRule="atLeast"/>
        </w:trPr>
        <w:tc>
          <w:tcPr>
            <w:vMerge w:val="continue"/>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5">
            <w:pPr>
              <w:ind w:left="0" w:hanging="2"/>
              <w:rPr>
                <w:sz w:val="22"/>
                <w:szCs w:val="22"/>
                <w:highlight w:val="white"/>
              </w:rPr>
            </w:pPr>
            <w:r w:rsidDel="00000000" w:rsidR="00000000" w:rsidRPr="00000000">
              <w:rPr>
                <w:sz w:val="22"/>
                <w:szCs w:val="22"/>
                <w:highlight w:val="white"/>
                <w:rtl w:val="0"/>
              </w:rPr>
              <w:t xml:space="preserve">Imax A</w:t>
            </w:r>
          </w:p>
          <w:p w:rsidR="00000000" w:rsidDel="00000000" w:rsidP="00000000" w:rsidRDefault="00000000" w:rsidRPr="00000000" w14:paraId="00000066">
            <w:pPr>
              <w:ind w:left="0" w:hanging="2"/>
              <w:rPr>
                <w:sz w:val="22"/>
                <w:szCs w:val="22"/>
                <w:highlight w:val="white"/>
              </w:rPr>
            </w:pPr>
            <w:r w:rsidDel="00000000" w:rsidR="00000000" w:rsidRPr="00000000">
              <w:rPr>
                <w:sz w:val="22"/>
                <w:szCs w:val="22"/>
                <w:highlight w:val="white"/>
                <w:rtl w:val="0"/>
              </w:rPr>
              <w:t xml:space="preserve">Umax V</w:t>
            </w:r>
          </w:p>
          <w:p w:rsidR="00000000" w:rsidDel="00000000" w:rsidP="00000000" w:rsidRDefault="00000000" w:rsidRPr="00000000" w14:paraId="00000067">
            <w:pPr>
              <w:ind w:left="0" w:hanging="2"/>
              <w:rPr>
                <w:sz w:val="22"/>
                <w:szCs w:val="22"/>
                <w:highlight w:val="white"/>
              </w:rPr>
            </w:pPr>
            <w:r w:rsidDel="00000000" w:rsidR="00000000" w:rsidRPr="00000000">
              <w:rPr>
                <w:sz w:val="22"/>
                <w:szCs w:val="22"/>
                <w:highlight w:val="white"/>
                <w:rtl w:val="0"/>
              </w:rPr>
              <w:t xml:space="preserve">ACR Ohm </w:t>
            </w:r>
          </w:p>
        </w:tc>
        <w:tc>
          <w:tcPr/>
          <w:p w:rsidR="00000000" w:rsidDel="00000000" w:rsidP="00000000" w:rsidRDefault="00000000" w:rsidRPr="00000000" w14:paraId="00000068">
            <w:pPr>
              <w:spacing w:line="276" w:lineRule="auto"/>
              <w:ind w:left="0" w:hanging="2"/>
              <w:rPr>
                <w:sz w:val="22"/>
                <w:szCs w:val="22"/>
                <w:highlight w:val="white"/>
              </w:rPr>
            </w:pPr>
            <w:r w:rsidDel="00000000" w:rsidR="00000000" w:rsidRPr="00000000">
              <w:rPr>
                <w:sz w:val="22"/>
                <w:szCs w:val="22"/>
                <w:highlight w:val="white"/>
                <w:rtl w:val="0"/>
              </w:rPr>
              <w:t xml:space="preserve">1.30+/-0,12</w:t>
            </w:r>
          </w:p>
          <w:p w:rsidR="00000000" w:rsidDel="00000000" w:rsidP="00000000" w:rsidRDefault="00000000" w:rsidRPr="00000000" w14:paraId="00000069">
            <w:pPr>
              <w:spacing w:line="276" w:lineRule="auto"/>
              <w:ind w:left="0" w:hanging="2"/>
              <w:rPr>
                <w:sz w:val="22"/>
                <w:szCs w:val="22"/>
                <w:highlight w:val="white"/>
              </w:rPr>
            </w:pPr>
            <w:r w:rsidDel="00000000" w:rsidR="00000000" w:rsidRPr="00000000">
              <w:rPr>
                <w:sz w:val="22"/>
                <w:szCs w:val="22"/>
                <w:highlight w:val="white"/>
                <w:rtl w:val="0"/>
              </w:rPr>
              <w:t xml:space="preserve">0.90+/-0,1</w:t>
            </w:r>
          </w:p>
          <w:p w:rsidR="00000000" w:rsidDel="00000000" w:rsidP="00000000" w:rsidRDefault="00000000" w:rsidRPr="00000000" w14:paraId="0000006A">
            <w:pPr>
              <w:spacing w:line="276" w:lineRule="auto"/>
              <w:ind w:left="0" w:hanging="2"/>
              <w:rPr>
                <w:sz w:val="22"/>
                <w:szCs w:val="22"/>
                <w:highlight w:val="white"/>
              </w:rPr>
            </w:pPr>
            <w:r w:rsidDel="00000000" w:rsidR="00000000" w:rsidRPr="00000000">
              <w:rPr>
                <w:sz w:val="22"/>
                <w:szCs w:val="22"/>
                <w:highlight w:val="white"/>
                <w:rtl w:val="0"/>
              </w:rPr>
              <w:t xml:space="preserve">0.66±0.7</w:t>
            </w:r>
          </w:p>
        </w:tc>
        <w:tc>
          <w:tcPr/>
          <w:p w:rsidR="00000000" w:rsidDel="00000000" w:rsidP="00000000" w:rsidRDefault="00000000" w:rsidRPr="00000000" w14:paraId="0000006B">
            <w:pPr>
              <w:spacing w:line="276" w:lineRule="auto"/>
              <w:ind w:left="0" w:hanging="2"/>
              <w:rPr>
                <w:sz w:val="22"/>
                <w:szCs w:val="22"/>
                <w:highlight w:val="white"/>
              </w:rPr>
            </w:pPr>
            <w:r w:rsidDel="00000000" w:rsidR="00000000" w:rsidRPr="00000000">
              <w:rPr>
                <w:rtl w:val="0"/>
              </w:rPr>
            </w:r>
          </w:p>
        </w:tc>
      </w:tr>
      <w:tr>
        <w:trPr>
          <w:trHeight w:val="1009" w:hRule="atLeast"/>
        </w:trPr>
        <w:tc>
          <w:tcPr>
            <w:vMerge w:val="continue"/>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E">
            <w:pPr>
              <w:ind w:left="0" w:hanging="2"/>
              <w:rPr>
                <w:sz w:val="22"/>
                <w:szCs w:val="22"/>
                <w:highlight w:val="white"/>
              </w:rPr>
            </w:pPr>
            <w:r w:rsidDel="00000000" w:rsidR="00000000" w:rsidRPr="00000000">
              <w:rPr>
                <w:sz w:val="22"/>
                <w:szCs w:val="22"/>
                <w:highlight w:val="white"/>
                <w:rtl w:val="0"/>
              </w:rPr>
              <w:t xml:space="preserve">power connection</w:t>
            </w:r>
          </w:p>
        </w:tc>
        <w:tc>
          <w:tcPr/>
          <w:p w:rsidR="00000000" w:rsidDel="00000000" w:rsidP="00000000" w:rsidRDefault="00000000" w:rsidRPr="00000000" w14:paraId="0000006F">
            <w:pPr>
              <w:spacing w:line="276" w:lineRule="auto"/>
              <w:ind w:left="0" w:hanging="2"/>
              <w:rPr>
                <w:sz w:val="22"/>
                <w:szCs w:val="22"/>
                <w:highlight w:val="white"/>
              </w:rPr>
            </w:pPr>
            <w:r w:rsidDel="00000000" w:rsidR="00000000" w:rsidRPr="00000000">
              <w:rPr>
                <w:sz w:val="22"/>
                <w:szCs w:val="22"/>
                <w:rtl w:val="0"/>
              </w:rPr>
              <w:t xml:space="preserve">2(+) i 8(-)</w:t>
            </w:r>
            <w:r w:rsidDel="00000000" w:rsidR="00000000" w:rsidRPr="00000000">
              <w:rPr>
                <w:rtl w:val="0"/>
              </w:rPr>
            </w:r>
          </w:p>
        </w:tc>
        <w:tc>
          <w:tcPr/>
          <w:p w:rsidR="00000000" w:rsidDel="00000000" w:rsidP="00000000" w:rsidRDefault="00000000" w:rsidRPr="00000000" w14:paraId="00000070">
            <w:pPr>
              <w:spacing w:line="276" w:lineRule="auto"/>
              <w:ind w:left="0" w:hanging="2"/>
              <w:rPr>
                <w:sz w:val="22"/>
                <w:szCs w:val="22"/>
              </w:rPr>
            </w:pPr>
            <w:r w:rsidDel="00000000" w:rsidR="00000000" w:rsidRPr="00000000">
              <w:rPr>
                <w:rtl w:val="0"/>
              </w:rPr>
            </w:r>
          </w:p>
        </w:tc>
      </w:tr>
      <w:tr>
        <w:trPr>
          <w:trHeight w:val="435" w:hRule="atLeast"/>
        </w:trPr>
        <w:tc>
          <w:tcPr>
            <w:vMerge w:val="restart"/>
            <w:vAlign w:val="center"/>
          </w:tcPr>
          <w:p w:rsidR="00000000" w:rsidDel="00000000" w:rsidP="00000000" w:rsidRDefault="00000000" w:rsidRPr="00000000" w14:paraId="00000071">
            <w:pPr>
              <w:ind w:left="0" w:hanging="2"/>
              <w:jc w:val="both"/>
              <w:rPr>
                <w:b w:val="1"/>
                <w:sz w:val="22"/>
                <w:szCs w:val="22"/>
              </w:rPr>
            </w:pPr>
            <w:r w:rsidDel="00000000" w:rsidR="00000000" w:rsidRPr="00000000">
              <w:rPr>
                <w:b w:val="1"/>
                <w:sz w:val="22"/>
                <w:szCs w:val="22"/>
                <w:rtl w:val="0"/>
              </w:rPr>
              <w:t xml:space="preserve">Standard TO8 header</w:t>
            </w:r>
          </w:p>
        </w:tc>
        <w:tc>
          <w:tcPr>
            <w:vMerge w:val="restart"/>
            <w:tcMar>
              <w:top w:w="55.0" w:type="dxa"/>
              <w:left w:w="55.0" w:type="dxa"/>
              <w:bottom w:w="55.0" w:type="dxa"/>
              <w:right w:w="55.0" w:type="dxa"/>
            </w:tcMar>
            <w:vAlign w:val="center"/>
          </w:tcPr>
          <w:p w:rsidR="00000000" w:rsidDel="00000000" w:rsidP="00000000" w:rsidRDefault="00000000" w:rsidRPr="00000000" w14:paraId="00000072">
            <w:pPr>
              <w:widowControl w:val="0"/>
              <w:ind w:left="0" w:hanging="2"/>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3">
            <w:pPr>
              <w:ind w:left="0" w:hanging="2"/>
              <w:rPr>
                <w:sz w:val="22"/>
                <w:szCs w:val="22"/>
              </w:rPr>
            </w:pPr>
            <w:r w:rsidDel="00000000" w:rsidR="00000000" w:rsidRPr="00000000">
              <w:rPr>
                <w:sz w:val="22"/>
                <w:szCs w:val="22"/>
                <w:rtl w:val="0"/>
              </w:rPr>
              <w:t xml:space="preserve">Number of pins</w:t>
            </w:r>
          </w:p>
        </w:tc>
        <w:tc>
          <w:tcPr/>
          <w:p w:rsidR="00000000" w:rsidDel="00000000" w:rsidP="00000000" w:rsidRDefault="00000000" w:rsidRPr="00000000" w14:paraId="00000074">
            <w:pPr>
              <w:ind w:left="0" w:hanging="2"/>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075">
            <w:pPr>
              <w:ind w:left="0" w:hanging="2"/>
              <w:rPr>
                <w:sz w:val="22"/>
                <w:szCs w:val="22"/>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8">
            <w:pPr>
              <w:ind w:left="0" w:hanging="2"/>
              <w:rPr>
                <w:sz w:val="22"/>
                <w:szCs w:val="22"/>
              </w:rPr>
            </w:pPr>
            <w:r w:rsidDel="00000000" w:rsidR="00000000" w:rsidRPr="00000000">
              <w:rPr>
                <w:sz w:val="22"/>
                <w:szCs w:val="22"/>
                <w:rtl w:val="0"/>
              </w:rPr>
              <w:t xml:space="preserve">Screw</w:t>
            </w:r>
          </w:p>
        </w:tc>
        <w:tc>
          <w:tcPr/>
          <w:p w:rsidR="00000000" w:rsidDel="00000000" w:rsidP="00000000" w:rsidRDefault="00000000" w:rsidRPr="00000000" w14:paraId="00000079">
            <w:pPr>
              <w:ind w:left="0" w:hanging="2"/>
              <w:rPr>
                <w:sz w:val="22"/>
                <w:szCs w:val="22"/>
              </w:rPr>
            </w:pPr>
            <w:r w:rsidDel="00000000" w:rsidR="00000000" w:rsidRPr="00000000">
              <w:rPr>
                <w:sz w:val="22"/>
                <w:szCs w:val="22"/>
                <w:rtl w:val="0"/>
              </w:rPr>
              <w:t xml:space="preserve">4-40 UNC</w:t>
            </w:r>
          </w:p>
        </w:tc>
        <w:tc>
          <w:tcPr/>
          <w:p w:rsidR="00000000" w:rsidDel="00000000" w:rsidP="00000000" w:rsidRDefault="00000000" w:rsidRPr="00000000" w14:paraId="0000007A">
            <w:pPr>
              <w:ind w:left="0" w:hanging="2"/>
              <w:rPr>
                <w:sz w:val="22"/>
                <w:szCs w:val="22"/>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D">
            <w:pPr>
              <w:ind w:left="0" w:hanging="2"/>
              <w:rPr>
                <w:sz w:val="22"/>
                <w:szCs w:val="22"/>
              </w:rPr>
            </w:pPr>
            <w:r w:rsidDel="00000000" w:rsidR="00000000" w:rsidRPr="00000000">
              <w:rPr>
                <w:sz w:val="22"/>
                <w:szCs w:val="22"/>
                <w:rtl w:val="0"/>
              </w:rPr>
              <w:t xml:space="preserve">Material</w:t>
            </w:r>
          </w:p>
        </w:tc>
        <w:tc>
          <w:tcPr/>
          <w:p w:rsidR="00000000" w:rsidDel="00000000" w:rsidP="00000000" w:rsidRDefault="00000000" w:rsidRPr="00000000" w14:paraId="0000007E">
            <w:pPr>
              <w:ind w:left="0" w:hanging="2"/>
              <w:rPr>
                <w:sz w:val="22"/>
                <w:szCs w:val="22"/>
              </w:rPr>
            </w:pPr>
            <w:r w:rsidDel="00000000" w:rsidR="00000000" w:rsidRPr="00000000">
              <w:rPr>
                <w:sz w:val="22"/>
                <w:szCs w:val="22"/>
                <w:rtl w:val="0"/>
              </w:rPr>
              <w:t xml:space="preserve">Kovar</w:t>
            </w:r>
          </w:p>
        </w:tc>
        <w:tc>
          <w:tcPr/>
          <w:p w:rsidR="00000000" w:rsidDel="00000000" w:rsidP="00000000" w:rsidRDefault="00000000" w:rsidRPr="00000000" w14:paraId="0000007F">
            <w:pPr>
              <w:ind w:left="0" w:hanging="2"/>
              <w:rPr>
                <w:sz w:val="22"/>
                <w:szCs w:val="22"/>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2">
            <w:pPr>
              <w:ind w:left="0" w:hanging="2"/>
              <w:rPr>
                <w:sz w:val="22"/>
                <w:szCs w:val="22"/>
              </w:rPr>
            </w:pPr>
            <w:r w:rsidDel="00000000" w:rsidR="00000000" w:rsidRPr="00000000">
              <w:rPr>
                <w:sz w:val="22"/>
                <w:szCs w:val="22"/>
                <w:rtl w:val="0"/>
              </w:rPr>
              <w:t xml:space="preserve">header height</w:t>
            </w:r>
          </w:p>
        </w:tc>
        <w:tc>
          <w:tcPr/>
          <w:p w:rsidR="00000000" w:rsidDel="00000000" w:rsidP="00000000" w:rsidRDefault="00000000" w:rsidRPr="00000000" w14:paraId="00000083">
            <w:pPr>
              <w:ind w:left="0" w:hanging="2"/>
              <w:rPr>
                <w:sz w:val="22"/>
                <w:szCs w:val="22"/>
              </w:rPr>
            </w:pPr>
            <w:r w:rsidDel="00000000" w:rsidR="00000000" w:rsidRPr="00000000">
              <w:rPr>
                <w:sz w:val="22"/>
                <w:szCs w:val="22"/>
                <w:rtl w:val="0"/>
              </w:rPr>
              <w:t xml:space="preserve">1, 52 mm</w:t>
            </w:r>
          </w:p>
        </w:tc>
        <w:tc>
          <w:tcPr/>
          <w:p w:rsidR="00000000" w:rsidDel="00000000" w:rsidP="00000000" w:rsidRDefault="00000000" w:rsidRPr="00000000" w14:paraId="00000084">
            <w:pPr>
              <w:ind w:left="0" w:hanging="2"/>
              <w:rPr>
                <w:sz w:val="22"/>
                <w:szCs w:val="22"/>
              </w:rPr>
            </w:pPr>
            <w:bookmarkStart w:colFirst="0" w:colLast="0" w:name="_heading=h.3znysh7" w:id="7"/>
            <w:bookmarkEnd w:id="7"/>
            <w:r w:rsidDel="00000000" w:rsidR="00000000" w:rsidRPr="00000000">
              <w:rPr>
                <w:rtl w:val="0"/>
              </w:rPr>
            </w:r>
          </w:p>
        </w:tc>
      </w:tr>
      <w:tr>
        <w:trPr>
          <w:trHeight w:val="390" w:hRule="atLeast"/>
        </w:trPr>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87">
            <w:pPr>
              <w:ind w:left="0" w:hanging="2"/>
              <w:rPr>
                <w:sz w:val="22"/>
                <w:szCs w:val="22"/>
              </w:rPr>
            </w:pPr>
            <w:r w:rsidDel="00000000" w:rsidR="00000000" w:rsidRPr="00000000">
              <w:rPr>
                <w:sz w:val="22"/>
                <w:szCs w:val="22"/>
                <w:rtl w:val="0"/>
              </w:rPr>
              <w:t xml:space="preserve">height of the pins below the header</w:t>
            </w:r>
          </w:p>
        </w:tc>
        <w:tc>
          <w:tcPr>
            <w:tcBorders>
              <w:bottom w:color="000000" w:space="0" w:sz="4" w:val="single"/>
            </w:tcBorders>
          </w:tcPr>
          <w:p w:rsidR="00000000" w:rsidDel="00000000" w:rsidP="00000000" w:rsidRDefault="00000000" w:rsidRPr="00000000" w14:paraId="00000088">
            <w:pPr>
              <w:ind w:left="0" w:hanging="2"/>
              <w:rPr>
                <w:sz w:val="22"/>
                <w:szCs w:val="22"/>
              </w:rPr>
            </w:pPr>
            <w:r w:rsidDel="00000000" w:rsidR="00000000" w:rsidRPr="00000000">
              <w:rPr>
                <w:sz w:val="22"/>
                <w:szCs w:val="22"/>
                <w:highlight w:val="white"/>
                <w:rtl w:val="0"/>
              </w:rPr>
              <w:t xml:space="preserve">7.9±0.3mm</w:t>
            </w:r>
            <w:r w:rsidDel="00000000" w:rsidR="00000000" w:rsidRPr="00000000">
              <w:rPr>
                <w:rtl w:val="0"/>
              </w:rPr>
            </w:r>
          </w:p>
        </w:tc>
        <w:tc>
          <w:tcPr>
            <w:tcBorders>
              <w:bottom w:color="000000" w:space="0" w:sz="4" w:val="single"/>
            </w:tcBorders>
          </w:tcPr>
          <w:p w:rsidR="00000000" w:rsidDel="00000000" w:rsidP="00000000" w:rsidRDefault="00000000" w:rsidRPr="00000000" w14:paraId="00000089">
            <w:pPr>
              <w:ind w:left="0" w:hanging="2"/>
              <w:rPr>
                <w:sz w:val="22"/>
                <w:szCs w:val="22"/>
                <w:highlight w:val="white"/>
              </w:rPr>
            </w:pPr>
            <w:r w:rsidDel="00000000" w:rsidR="00000000" w:rsidRPr="00000000">
              <w:rPr>
                <w:rtl w:val="0"/>
              </w:rPr>
            </w:r>
          </w:p>
        </w:tc>
      </w:tr>
      <w:tr>
        <w:trPr>
          <w:trHeight w:val="360" w:hRule="atLeast"/>
        </w:trPr>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C">
            <w:pPr>
              <w:ind w:left="0" w:hanging="2"/>
              <w:rPr>
                <w:sz w:val="22"/>
                <w:szCs w:val="22"/>
              </w:rPr>
            </w:pPr>
            <w:r w:rsidDel="00000000" w:rsidR="00000000" w:rsidRPr="00000000">
              <w:rPr>
                <w:sz w:val="22"/>
                <w:szCs w:val="22"/>
                <w:rtl w:val="0"/>
              </w:rPr>
              <w:t xml:space="preserve">height of the pins above the header</w:t>
            </w:r>
          </w:p>
        </w:tc>
        <w:tc>
          <w:tcPr/>
          <w:p w:rsidR="00000000" w:rsidDel="00000000" w:rsidP="00000000" w:rsidRDefault="00000000" w:rsidRPr="00000000" w14:paraId="0000008D">
            <w:pPr>
              <w:ind w:left="0" w:hanging="2"/>
              <w:rPr>
                <w:sz w:val="22"/>
                <w:szCs w:val="22"/>
              </w:rPr>
            </w:pPr>
            <w:r w:rsidDel="00000000" w:rsidR="00000000" w:rsidRPr="00000000">
              <w:rPr>
                <w:sz w:val="22"/>
                <w:szCs w:val="22"/>
                <w:highlight w:val="white"/>
                <w:rtl w:val="0"/>
              </w:rPr>
              <w:t xml:space="preserve">2.54mm</w:t>
            </w:r>
            <w:r w:rsidDel="00000000" w:rsidR="00000000" w:rsidRPr="00000000">
              <w:rPr>
                <w:rtl w:val="0"/>
              </w:rPr>
            </w:r>
          </w:p>
        </w:tc>
        <w:tc>
          <w:tcPr/>
          <w:p w:rsidR="00000000" w:rsidDel="00000000" w:rsidP="00000000" w:rsidRDefault="00000000" w:rsidRPr="00000000" w14:paraId="0000008E">
            <w:pPr>
              <w:ind w:left="0" w:hanging="2"/>
              <w:rPr>
                <w:sz w:val="22"/>
                <w:szCs w:val="22"/>
                <w:highlight w:val="white"/>
              </w:rPr>
            </w:pPr>
            <w:r w:rsidDel="00000000" w:rsidR="00000000" w:rsidRPr="00000000">
              <w:rPr>
                <w:rtl w:val="0"/>
              </w:rPr>
            </w:r>
          </w:p>
        </w:tc>
      </w:tr>
      <w:tr>
        <w:trPr>
          <w:trHeight w:val="390" w:hRule="atLeast"/>
        </w:trPr>
        <w:tc>
          <w:tcPr>
            <w:vMerge w:val="continue"/>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1">
            <w:pPr>
              <w:ind w:left="0" w:hanging="2"/>
              <w:rPr>
                <w:sz w:val="22"/>
                <w:szCs w:val="22"/>
              </w:rPr>
            </w:pPr>
            <w:r w:rsidDel="00000000" w:rsidR="00000000" w:rsidRPr="00000000">
              <w:rPr>
                <w:sz w:val="22"/>
                <w:szCs w:val="22"/>
                <w:rtl w:val="0"/>
              </w:rPr>
              <w:t xml:space="preserve">diameter of pins</w:t>
            </w:r>
          </w:p>
        </w:tc>
        <w:tc>
          <w:tcPr/>
          <w:p w:rsidR="00000000" w:rsidDel="00000000" w:rsidP="00000000" w:rsidRDefault="00000000" w:rsidRPr="00000000" w14:paraId="00000092">
            <w:pPr>
              <w:ind w:left="0" w:hanging="2"/>
              <w:rPr>
                <w:sz w:val="22"/>
                <w:szCs w:val="22"/>
              </w:rPr>
            </w:pPr>
            <w:r w:rsidDel="00000000" w:rsidR="00000000" w:rsidRPr="00000000">
              <w:rPr>
                <w:sz w:val="22"/>
                <w:szCs w:val="22"/>
                <w:highlight w:val="white"/>
                <w:rtl w:val="0"/>
              </w:rPr>
              <w:t xml:space="preserve">Ø0.46±0.05</w:t>
            </w:r>
            <w:r w:rsidDel="00000000" w:rsidR="00000000" w:rsidRPr="00000000">
              <w:rPr>
                <w:rtl w:val="0"/>
              </w:rPr>
            </w:r>
          </w:p>
        </w:tc>
        <w:tc>
          <w:tcPr/>
          <w:p w:rsidR="00000000" w:rsidDel="00000000" w:rsidP="00000000" w:rsidRDefault="00000000" w:rsidRPr="00000000" w14:paraId="00000093">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6">
            <w:pPr>
              <w:ind w:left="0" w:hanging="2"/>
              <w:rPr>
                <w:sz w:val="22"/>
                <w:szCs w:val="22"/>
              </w:rPr>
            </w:pPr>
            <w:r w:rsidDel="00000000" w:rsidR="00000000" w:rsidRPr="00000000">
              <w:rPr>
                <w:sz w:val="22"/>
                <w:szCs w:val="22"/>
                <w:rtl w:val="0"/>
              </w:rPr>
              <w:t xml:space="preserve">diameter of header</w:t>
            </w:r>
          </w:p>
        </w:tc>
        <w:tc>
          <w:tcPr/>
          <w:p w:rsidR="00000000" w:rsidDel="00000000" w:rsidP="00000000" w:rsidRDefault="00000000" w:rsidRPr="00000000" w14:paraId="00000097">
            <w:pPr>
              <w:ind w:left="0" w:hanging="2"/>
              <w:rPr>
                <w:sz w:val="22"/>
                <w:szCs w:val="22"/>
              </w:rPr>
            </w:pPr>
            <w:r w:rsidDel="00000000" w:rsidR="00000000" w:rsidRPr="00000000">
              <w:rPr>
                <w:sz w:val="22"/>
                <w:szCs w:val="22"/>
                <w:rtl w:val="0"/>
              </w:rPr>
              <w:t xml:space="preserve">Ø15.2 mm</w:t>
            </w:r>
          </w:p>
        </w:tc>
        <w:tc>
          <w:tcPr/>
          <w:p w:rsidR="00000000" w:rsidDel="00000000" w:rsidP="00000000" w:rsidRDefault="00000000" w:rsidRPr="00000000" w14:paraId="00000098">
            <w:pPr>
              <w:ind w:left="0" w:hanging="2"/>
              <w:rPr>
                <w:sz w:val="22"/>
                <w:szCs w:val="22"/>
              </w:rPr>
            </w:pP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B">
            <w:pPr>
              <w:ind w:left="0" w:hanging="2"/>
              <w:rPr>
                <w:sz w:val="22"/>
                <w:szCs w:val="22"/>
              </w:rPr>
            </w:pPr>
            <w:r w:rsidDel="00000000" w:rsidR="00000000" w:rsidRPr="00000000">
              <w:rPr>
                <w:sz w:val="22"/>
                <w:szCs w:val="22"/>
                <w:rtl w:val="0"/>
              </w:rPr>
              <w:t xml:space="preserve">covering</w:t>
            </w:r>
          </w:p>
        </w:tc>
        <w:tc>
          <w:tcPr/>
          <w:p w:rsidR="00000000" w:rsidDel="00000000" w:rsidP="00000000" w:rsidRDefault="00000000" w:rsidRPr="00000000" w14:paraId="0000009C">
            <w:pPr>
              <w:ind w:left="0" w:hanging="2"/>
              <w:rPr>
                <w:sz w:val="22"/>
                <w:szCs w:val="22"/>
              </w:rPr>
            </w:pPr>
            <w:r w:rsidDel="00000000" w:rsidR="00000000" w:rsidRPr="00000000">
              <w:rPr>
                <w:sz w:val="22"/>
                <w:szCs w:val="22"/>
                <w:rtl w:val="0"/>
              </w:rPr>
              <w:t xml:space="preserve">1.27 um thick gold on a Ni base</w:t>
            </w:r>
          </w:p>
        </w:tc>
        <w:tc>
          <w:tcPr/>
          <w:p w:rsidR="00000000" w:rsidDel="00000000" w:rsidP="00000000" w:rsidRDefault="00000000" w:rsidRPr="00000000" w14:paraId="0000009D">
            <w:pPr>
              <w:ind w:left="0" w:hanging="2"/>
              <w:rPr>
                <w:sz w:val="22"/>
                <w:szCs w:val="22"/>
              </w:rPr>
            </w:pPr>
            <w:r w:rsidDel="00000000" w:rsidR="00000000" w:rsidRPr="00000000">
              <w:rPr>
                <w:rtl w:val="0"/>
              </w:rPr>
            </w:r>
          </w:p>
        </w:tc>
      </w:tr>
      <w:tr>
        <w:trPr>
          <w:trHeight w:val="435" w:hRule="atLeast"/>
        </w:trPr>
        <w:tc>
          <w:tcPr>
            <w:vMerge w:val="restart"/>
            <w:vAlign w:val="center"/>
          </w:tcPr>
          <w:p w:rsidR="00000000" w:rsidDel="00000000" w:rsidP="00000000" w:rsidRDefault="00000000" w:rsidRPr="00000000" w14:paraId="0000009E">
            <w:pPr>
              <w:ind w:left="0" w:hanging="2"/>
              <w:jc w:val="both"/>
              <w:rPr>
                <w:b w:val="1"/>
                <w:sz w:val="22"/>
                <w:szCs w:val="22"/>
                <w:highlight w:val="white"/>
              </w:rPr>
            </w:pPr>
            <w:r w:rsidDel="00000000" w:rsidR="00000000" w:rsidRPr="00000000">
              <w:rPr>
                <w:b w:val="1"/>
                <w:sz w:val="22"/>
                <w:szCs w:val="22"/>
                <w:highlight w:val="white"/>
                <w:rtl w:val="0"/>
              </w:rPr>
              <w:t xml:space="preserve">Thermoelectric cooler 4TE on TO8 12 pin header</w:t>
            </w:r>
          </w:p>
        </w:tc>
        <w:tc>
          <w:tcPr>
            <w:vMerge w:val="restart"/>
            <w:tcMar>
              <w:top w:w="55.0" w:type="dxa"/>
              <w:left w:w="55.0" w:type="dxa"/>
              <w:bottom w:w="55.0" w:type="dxa"/>
              <w:right w:w="55.0" w:type="dxa"/>
            </w:tcMar>
            <w:vAlign w:val="center"/>
          </w:tcPr>
          <w:p w:rsidR="00000000" w:rsidDel="00000000" w:rsidP="00000000" w:rsidRDefault="00000000" w:rsidRPr="00000000" w14:paraId="0000009F">
            <w:pPr>
              <w:widowControl w:val="0"/>
              <w:ind w:left="0" w:hanging="2"/>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A0">
            <w:pPr>
              <w:ind w:left="0" w:hanging="2"/>
              <w:rPr>
                <w:sz w:val="22"/>
                <w:szCs w:val="22"/>
                <w:highlight w:val="white"/>
              </w:rPr>
            </w:pPr>
            <w:r w:rsidDel="00000000" w:rsidR="00000000" w:rsidRPr="00000000">
              <w:rPr>
                <w:sz w:val="22"/>
                <w:szCs w:val="22"/>
                <w:highlight w:val="white"/>
                <w:rtl w:val="0"/>
              </w:rPr>
              <w:t xml:space="preserve">Top Ceramics (cold side)</w:t>
            </w:r>
          </w:p>
        </w:tc>
        <w:tc>
          <w:tcPr/>
          <w:p w:rsidR="00000000" w:rsidDel="00000000" w:rsidP="00000000" w:rsidRDefault="00000000" w:rsidRPr="00000000" w14:paraId="000000A1">
            <w:pPr>
              <w:ind w:left="0" w:hanging="2"/>
              <w:rPr>
                <w:sz w:val="22"/>
                <w:szCs w:val="22"/>
                <w:highlight w:val="white"/>
              </w:rPr>
            </w:pPr>
            <w:r w:rsidDel="00000000" w:rsidR="00000000" w:rsidRPr="00000000">
              <w:rPr>
                <w:sz w:val="22"/>
                <w:szCs w:val="22"/>
                <w:highlight w:val="white"/>
                <w:rtl w:val="0"/>
              </w:rPr>
              <w:t xml:space="preserve">Al2O3 polished Ra&lt;0.1,</w:t>
              <w:br w:type="textWrapping"/>
              <w:t xml:space="preserve">no metallization, dimensions 2,6x2,6 mm ±0,1mm</w:t>
            </w:r>
          </w:p>
        </w:tc>
        <w:tc>
          <w:tcPr/>
          <w:p w:rsidR="00000000" w:rsidDel="00000000" w:rsidP="00000000" w:rsidRDefault="00000000" w:rsidRPr="00000000" w14:paraId="000000A2">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A5">
            <w:pPr>
              <w:ind w:left="0" w:hanging="2"/>
              <w:rPr>
                <w:sz w:val="22"/>
                <w:szCs w:val="22"/>
                <w:highlight w:val="white"/>
              </w:rPr>
            </w:pPr>
            <w:r w:rsidDel="00000000" w:rsidR="00000000" w:rsidRPr="00000000">
              <w:rPr>
                <w:sz w:val="22"/>
                <w:szCs w:val="22"/>
                <w:highlight w:val="white"/>
                <w:rtl w:val="0"/>
              </w:rPr>
              <w:t xml:space="preserve">Middle ceramics</w:t>
            </w:r>
          </w:p>
        </w:tc>
        <w:tc>
          <w:tcPr/>
          <w:p w:rsidR="00000000" w:rsidDel="00000000" w:rsidP="00000000" w:rsidRDefault="00000000" w:rsidRPr="00000000" w14:paraId="000000A6">
            <w:pPr>
              <w:ind w:left="0" w:hanging="2"/>
              <w:rPr>
                <w:sz w:val="22"/>
                <w:szCs w:val="22"/>
                <w:highlight w:val="white"/>
              </w:rPr>
            </w:pPr>
            <w:r w:rsidDel="00000000" w:rsidR="00000000" w:rsidRPr="00000000">
              <w:rPr>
                <w:sz w:val="22"/>
                <w:szCs w:val="22"/>
                <w:highlight w:val="white"/>
                <w:rtl w:val="0"/>
              </w:rPr>
              <w:t xml:space="preserve">Al2O3 with VIAS</w:t>
            </w:r>
          </w:p>
        </w:tc>
        <w:tc>
          <w:tcPr/>
          <w:p w:rsidR="00000000" w:rsidDel="00000000" w:rsidP="00000000" w:rsidRDefault="00000000" w:rsidRPr="00000000" w14:paraId="000000A7">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AA">
            <w:pPr>
              <w:ind w:left="0" w:hanging="2"/>
              <w:rPr>
                <w:sz w:val="22"/>
                <w:szCs w:val="22"/>
                <w:highlight w:val="white"/>
              </w:rPr>
            </w:pPr>
            <w:r w:rsidDel="00000000" w:rsidR="00000000" w:rsidRPr="00000000">
              <w:rPr>
                <w:sz w:val="22"/>
                <w:szCs w:val="22"/>
                <w:highlight w:val="white"/>
                <w:rtl w:val="0"/>
              </w:rPr>
              <w:t xml:space="preserve">bottom ceramics</w:t>
            </w:r>
          </w:p>
        </w:tc>
        <w:tc>
          <w:tcPr/>
          <w:p w:rsidR="00000000" w:rsidDel="00000000" w:rsidP="00000000" w:rsidRDefault="00000000" w:rsidRPr="00000000" w14:paraId="000000AB">
            <w:pPr>
              <w:ind w:left="0" w:hanging="2"/>
              <w:rPr>
                <w:sz w:val="22"/>
                <w:szCs w:val="22"/>
                <w:highlight w:val="white"/>
              </w:rPr>
            </w:pPr>
            <w:r w:rsidDel="00000000" w:rsidR="00000000" w:rsidRPr="00000000">
              <w:rPr>
                <w:sz w:val="22"/>
                <w:szCs w:val="22"/>
                <w:highlight w:val="white"/>
                <w:rtl w:val="0"/>
              </w:rPr>
              <w:t xml:space="preserve">Al2O3 Au metallization 0,2 um, dimensions 7,4x7,4mm ±0,1mm</w:t>
            </w:r>
          </w:p>
        </w:tc>
        <w:tc>
          <w:tcPr/>
          <w:p w:rsidR="00000000" w:rsidDel="00000000" w:rsidP="00000000" w:rsidRDefault="00000000" w:rsidRPr="00000000" w14:paraId="000000AC">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AF">
            <w:pPr>
              <w:ind w:left="0" w:hanging="2"/>
              <w:rPr>
                <w:sz w:val="22"/>
                <w:szCs w:val="22"/>
                <w:highlight w:val="white"/>
              </w:rPr>
            </w:pPr>
            <w:r w:rsidDel="00000000" w:rsidR="00000000" w:rsidRPr="00000000">
              <w:rPr>
                <w:sz w:val="22"/>
                <w:szCs w:val="22"/>
                <w:highlight w:val="white"/>
                <w:rtl w:val="0"/>
              </w:rPr>
              <w:t xml:space="preserve">pellets</w:t>
            </w:r>
          </w:p>
        </w:tc>
        <w:tc>
          <w:tcPr/>
          <w:p w:rsidR="00000000" w:rsidDel="00000000" w:rsidP="00000000" w:rsidRDefault="00000000" w:rsidRPr="00000000" w14:paraId="000000B0">
            <w:pPr>
              <w:ind w:left="0" w:hanging="2"/>
              <w:rPr>
                <w:sz w:val="22"/>
                <w:szCs w:val="22"/>
                <w:highlight w:val="white"/>
              </w:rPr>
            </w:pPr>
            <w:r w:rsidDel="00000000" w:rsidR="00000000" w:rsidRPr="00000000">
              <w:rPr>
                <w:sz w:val="22"/>
                <w:szCs w:val="22"/>
                <w:highlight w:val="white"/>
                <w:rtl w:val="0"/>
              </w:rPr>
              <w:t xml:space="preserve">BiTe with Ni barrier layer</w:t>
            </w:r>
          </w:p>
        </w:tc>
        <w:tc>
          <w:tcPr/>
          <w:p w:rsidR="00000000" w:rsidDel="00000000" w:rsidP="00000000" w:rsidRDefault="00000000" w:rsidRPr="00000000" w14:paraId="000000B1">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B4">
            <w:pPr>
              <w:ind w:left="0" w:hanging="2"/>
              <w:rPr>
                <w:sz w:val="22"/>
                <w:szCs w:val="22"/>
                <w:highlight w:val="white"/>
              </w:rPr>
            </w:pPr>
            <w:r w:rsidDel="00000000" w:rsidR="00000000" w:rsidRPr="00000000">
              <w:rPr>
                <w:sz w:val="22"/>
                <w:szCs w:val="22"/>
                <w:highlight w:val="white"/>
                <w:rtl w:val="0"/>
              </w:rPr>
              <w:t xml:space="preserve">terminal wires AWG30</w:t>
            </w:r>
          </w:p>
        </w:tc>
        <w:tc>
          <w:tcPr>
            <w:tcBorders>
              <w:bottom w:color="000000" w:space="0" w:sz="4" w:val="single"/>
            </w:tcBorders>
          </w:tcPr>
          <w:p w:rsidR="00000000" w:rsidDel="00000000" w:rsidP="00000000" w:rsidRDefault="00000000" w:rsidRPr="00000000" w14:paraId="000000B5">
            <w:pPr>
              <w:ind w:left="0" w:hanging="2"/>
              <w:rPr>
                <w:sz w:val="22"/>
                <w:szCs w:val="22"/>
                <w:highlight w:val="white"/>
              </w:rPr>
            </w:pPr>
            <w:r w:rsidDel="00000000" w:rsidR="00000000" w:rsidRPr="00000000">
              <w:rPr>
                <w:sz w:val="22"/>
                <w:szCs w:val="22"/>
                <w:highlight w:val="white"/>
                <w:rtl w:val="0"/>
              </w:rPr>
              <w:t xml:space="preserve">Cu blank tinned copper 0,202 mm </w:t>
            </w:r>
          </w:p>
          <w:p w:rsidR="00000000" w:rsidDel="00000000" w:rsidP="00000000" w:rsidRDefault="00000000" w:rsidRPr="00000000" w14:paraId="000000B6">
            <w:pPr>
              <w:ind w:left="0" w:hanging="2"/>
              <w:rPr>
                <w:sz w:val="22"/>
                <w:szCs w:val="22"/>
                <w:highlight w:val="white"/>
              </w:rPr>
            </w:pPr>
            <w:r w:rsidDel="00000000" w:rsidR="00000000" w:rsidRPr="00000000">
              <w:rPr>
                <w:sz w:val="22"/>
                <w:szCs w:val="22"/>
                <w:highlight w:val="white"/>
                <w:rtl w:val="0"/>
              </w:rPr>
              <w:t xml:space="preserve"> mm dia</w:t>
            </w:r>
          </w:p>
        </w:tc>
        <w:tc>
          <w:tcPr>
            <w:tcBorders>
              <w:bottom w:color="000000" w:space="0" w:sz="4" w:val="single"/>
            </w:tcBorders>
          </w:tcPr>
          <w:p w:rsidR="00000000" w:rsidDel="00000000" w:rsidP="00000000" w:rsidRDefault="00000000" w:rsidRPr="00000000" w14:paraId="000000B7">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A">
            <w:pPr>
              <w:ind w:left="0" w:hanging="2"/>
              <w:rPr>
                <w:sz w:val="22"/>
                <w:szCs w:val="22"/>
                <w:highlight w:val="white"/>
              </w:rPr>
            </w:pPr>
            <w:r w:rsidDel="00000000" w:rsidR="00000000" w:rsidRPr="00000000">
              <w:rPr>
                <w:sz w:val="22"/>
                <w:szCs w:val="22"/>
                <w:highlight w:val="white"/>
                <w:rtl w:val="0"/>
              </w:rPr>
              <w:t xml:space="preserve">Assembling Solder</w:t>
            </w:r>
          </w:p>
        </w:tc>
        <w:tc>
          <w:tcPr/>
          <w:p w:rsidR="00000000" w:rsidDel="00000000" w:rsidP="00000000" w:rsidRDefault="00000000" w:rsidRPr="00000000" w14:paraId="000000BB">
            <w:pPr>
              <w:ind w:left="0" w:hanging="2"/>
              <w:rPr>
                <w:sz w:val="22"/>
                <w:szCs w:val="22"/>
                <w:highlight w:val="white"/>
              </w:rPr>
            </w:pPr>
            <w:r w:rsidDel="00000000" w:rsidR="00000000" w:rsidRPr="00000000">
              <w:rPr>
                <w:sz w:val="22"/>
                <w:szCs w:val="22"/>
                <w:highlight w:val="white"/>
                <w:rtl w:val="0"/>
              </w:rPr>
              <w:t xml:space="preserve">Sn-Sb lead free RoHs Tmelt = 230°C</w:t>
            </w:r>
          </w:p>
        </w:tc>
        <w:tc>
          <w:tcPr/>
          <w:p w:rsidR="00000000" w:rsidDel="00000000" w:rsidP="00000000" w:rsidRDefault="00000000" w:rsidRPr="00000000" w14:paraId="000000BC">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F">
            <w:pPr>
              <w:ind w:left="0" w:hanging="2"/>
              <w:rPr>
                <w:sz w:val="22"/>
                <w:szCs w:val="22"/>
                <w:highlight w:val="white"/>
              </w:rPr>
            </w:pPr>
            <w:r w:rsidDel="00000000" w:rsidR="00000000" w:rsidRPr="00000000">
              <w:rPr>
                <w:sz w:val="22"/>
                <w:szCs w:val="22"/>
                <w:highlight w:val="white"/>
                <w:rtl w:val="0"/>
              </w:rPr>
              <w:t xml:space="preserve">TEC bonding</w:t>
            </w:r>
          </w:p>
        </w:tc>
        <w:tc>
          <w:tcPr/>
          <w:p w:rsidR="00000000" w:rsidDel="00000000" w:rsidP="00000000" w:rsidRDefault="00000000" w:rsidRPr="00000000" w14:paraId="000000C0">
            <w:pPr>
              <w:ind w:left="0" w:hanging="2"/>
              <w:rPr>
                <w:sz w:val="22"/>
                <w:szCs w:val="22"/>
                <w:highlight w:val="white"/>
              </w:rPr>
            </w:pPr>
            <w:r w:rsidDel="00000000" w:rsidR="00000000" w:rsidRPr="00000000">
              <w:rPr>
                <w:sz w:val="22"/>
                <w:szCs w:val="22"/>
                <w:highlight w:val="white"/>
                <w:rtl w:val="0"/>
              </w:rPr>
              <w:t xml:space="preserve">Sn-Sb lead free RoHs Tmelt = 230°C</w:t>
            </w:r>
          </w:p>
        </w:tc>
        <w:tc>
          <w:tcPr/>
          <w:p w:rsidR="00000000" w:rsidDel="00000000" w:rsidP="00000000" w:rsidRDefault="00000000" w:rsidRPr="00000000" w14:paraId="000000C1">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4">
            <w:pPr>
              <w:ind w:left="0" w:hanging="2"/>
              <w:rPr>
                <w:sz w:val="22"/>
                <w:szCs w:val="22"/>
                <w:highlight w:val="white"/>
              </w:rPr>
            </w:pPr>
            <w:r w:rsidDel="00000000" w:rsidR="00000000" w:rsidRPr="00000000">
              <w:rPr>
                <w:sz w:val="22"/>
                <w:szCs w:val="22"/>
                <w:highlight w:val="white"/>
                <w:rtl w:val="0"/>
              </w:rPr>
              <w:t xml:space="preserve">Header</w:t>
            </w:r>
          </w:p>
        </w:tc>
        <w:tc>
          <w:tcPr/>
          <w:p w:rsidR="00000000" w:rsidDel="00000000" w:rsidP="00000000" w:rsidRDefault="00000000" w:rsidRPr="00000000" w14:paraId="000000C5">
            <w:pPr>
              <w:ind w:left="0" w:hanging="2"/>
              <w:rPr>
                <w:sz w:val="22"/>
                <w:szCs w:val="22"/>
                <w:highlight w:val="white"/>
              </w:rPr>
            </w:pPr>
            <w:r w:rsidDel="00000000" w:rsidR="00000000" w:rsidRPr="00000000">
              <w:rPr>
                <w:sz w:val="22"/>
                <w:szCs w:val="22"/>
                <w:highlight w:val="white"/>
                <w:rtl w:val="0"/>
              </w:rPr>
              <w:t xml:space="preserve">TO812</w:t>
            </w:r>
          </w:p>
        </w:tc>
        <w:tc>
          <w:tcPr/>
          <w:p w:rsidR="00000000" w:rsidDel="00000000" w:rsidP="00000000" w:rsidRDefault="00000000" w:rsidRPr="00000000" w14:paraId="000000C6">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9">
            <w:pPr>
              <w:ind w:left="0" w:hanging="2"/>
              <w:rPr>
                <w:sz w:val="22"/>
                <w:szCs w:val="22"/>
                <w:highlight w:val="white"/>
              </w:rPr>
            </w:pPr>
            <w:r w:rsidDel="00000000" w:rsidR="00000000" w:rsidRPr="00000000">
              <w:rPr>
                <w:sz w:val="22"/>
                <w:szCs w:val="22"/>
                <w:highlight w:val="white"/>
                <w:rtl w:val="0"/>
              </w:rPr>
              <w:t xml:space="preserve">TEC mounting</w:t>
            </w:r>
          </w:p>
        </w:tc>
        <w:tc>
          <w:tcPr/>
          <w:p w:rsidR="00000000" w:rsidDel="00000000" w:rsidP="00000000" w:rsidRDefault="00000000" w:rsidRPr="00000000" w14:paraId="000000CA">
            <w:pPr>
              <w:ind w:left="0" w:hanging="2"/>
              <w:rPr>
                <w:sz w:val="22"/>
                <w:szCs w:val="22"/>
                <w:highlight w:val="white"/>
              </w:rPr>
            </w:pPr>
            <w:r w:rsidDel="00000000" w:rsidR="00000000" w:rsidRPr="00000000">
              <w:rPr>
                <w:sz w:val="22"/>
                <w:szCs w:val="22"/>
                <w:highlight w:val="white"/>
                <w:rtl w:val="0"/>
              </w:rPr>
              <w:t xml:space="preserve">lead free RoHs Tmelt = 206°C</w:t>
            </w:r>
          </w:p>
          <w:p w:rsidR="00000000" w:rsidDel="00000000" w:rsidP="00000000" w:rsidRDefault="00000000" w:rsidRPr="00000000" w14:paraId="000000CB">
            <w:pPr>
              <w:ind w:left="0" w:hanging="2"/>
              <w:rPr>
                <w:sz w:val="22"/>
                <w:szCs w:val="22"/>
                <w:highlight w:val="white"/>
              </w:rPr>
            </w:pPr>
            <w:r w:rsidDel="00000000" w:rsidR="00000000" w:rsidRPr="00000000">
              <w:rPr>
                <w:rtl w:val="0"/>
              </w:rPr>
            </w:r>
          </w:p>
        </w:tc>
        <w:tc>
          <w:tcPr/>
          <w:p w:rsidR="00000000" w:rsidDel="00000000" w:rsidP="00000000" w:rsidRDefault="00000000" w:rsidRPr="00000000" w14:paraId="000000CC">
            <w:pPr>
              <w:ind w:left="0" w:hanging="2"/>
              <w:rPr>
                <w:sz w:val="22"/>
                <w:szCs w:val="22"/>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F">
            <w:pPr>
              <w:ind w:left="0" w:hanging="2"/>
              <w:rPr>
                <w:sz w:val="22"/>
                <w:szCs w:val="22"/>
                <w:highlight w:val="white"/>
              </w:rPr>
            </w:pPr>
            <w:r w:rsidDel="00000000" w:rsidR="00000000" w:rsidRPr="00000000">
              <w:rPr>
                <w:sz w:val="22"/>
                <w:szCs w:val="22"/>
                <w:highlight w:val="white"/>
                <w:rtl w:val="0"/>
              </w:rPr>
              <w:t xml:space="preserve">Height </w:t>
            </w:r>
          </w:p>
        </w:tc>
        <w:tc>
          <w:tcPr/>
          <w:p w:rsidR="00000000" w:rsidDel="00000000" w:rsidP="00000000" w:rsidRDefault="00000000" w:rsidRPr="00000000" w14:paraId="000000D0">
            <w:pPr>
              <w:ind w:left="0" w:hanging="2"/>
              <w:rPr>
                <w:sz w:val="22"/>
                <w:szCs w:val="22"/>
                <w:highlight w:val="yellow"/>
              </w:rPr>
            </w:pPr>
            <w:r w:rsidDel="00000000" w:rsidR="00000000" w:rsidRPr="00000000">
              <w:rPr>
                <w:sz w:val="22"/>
                <w:szCs w:val="22"/>
                <w:rtl w:val="0"/>
              </w:rPr>
              <w:t xml:space="preserve">6.9±0.25</w:t>
            </w:r>
            <w:r w:rsidDel="00000000" w:rsidR="00000000" w:rsidRPr="00000000">
              <w:rPr>
                <w:rtl w:val="0"/>
              </w:rPr>
            </w:r>
          </w:p>
        </w:tc>
        <w:tc>
          <w:tcPr/>
          <w:p w:rsidR="00000000" w:rsidDel="00000000" w:rsidP="00000000" w:rsidRDefault="00000000" w:rsidRPr="00000000" w14:paraId="000000D1">
            <w:pPr>
              <w:ind w:left="0" w:hanging="2"/>
              <w:rPr>
                <w:sz w:val="22"/>
                <w:szCs w:val="22"/>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D4">
            <w:pPr>
              <w:ind w:left="0" w:hanging="2"/>
              <w:rPr>
                <w:sz w:val="22"/>
                <w:szCs w:val="22"/>
                <w:highlight w:val="white"/>
              </w:rPr>
            </w:pPr>
            <w:r w:rsidDel="00000000" w:rsidR="00000000" w:rsidRPr="00000000">
              <w:rPr>
                <w:sz w:val="22"/>
                <w:szCs w:val="22"/>
                <w:highlight w:val="white"/>
                <w:rtl w:val="0"/>
              </w:rPr>
              <w:t xml:space="preserve">ΔTmax K </w:t>
            </w:r>
          </w:p>
        </w:tc>
        <w:tc>
          <w:tcPr/>
          <w:p w:rsidR="00000000" w:rsidDel="00000000" w:rsidP="00000000" w:rsidRDefault="00000000" w:rsidRPr="00000000" w14:paraId="000000D5">
            <w:pPr>
              <w:ind w:left="0" w:hanging="2"/>
              <w:rPr>
                <w:sz w:val="22"/>
                <w:szCs w:val="22"/>
                <w:highlight w:val="yellow"/>
              </w:rPr>
            </w:pPr>
            <w:r w:rsidDel="00000000" w:rsidR="00000000" w:rsidRPr="00000000">
              <w:rPr>
                <w:sz w:val="22"/>
                <w:szCs w:val="22"/>
                <w:rtl w:val="0"/>
              </w:rPr>
              <w:t xml:space="preserve">127±3</w:t>
            </w:r>
            <w:r w:rsidDel="00000000" w:rsidR="00000000" w:rsidRPr="00000000">
              <w:rPr>
                <w:rtl w:val="0"/>
              </w:rPr>
            </w:r>
          </w:p>
        </w:tc>
        <w:tc>
          <w:tcPr/>
          <w:p w:rsidR="00000000" w:rsidDel="00000000" w:rsidP="00000000" w:rsidRDefault="00000000" w:rsidRPr="00000000" w14:paraId="000000D6">
            <w:pPr>
              <w:ind w:left="0" w:hanging="2"/>
              <w:rPr>
                <w:sz w:val="22"/>
                <w:szCs w:val="22"/>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D9">
            <w:pPr>
              <w:ind w:left="0" w:hanging="2"/>
              <w:rPr>
                <w:sz w:val="22"/>
                <w:szCs w:val="22"/>
                <w:highlight w:val="white"/>
              </w:rPr>
            </w:pPr>
            <w:r w:rsidDel="00000000" w:rsidR="00000000" w:rsidRPr="00000000">
              <w:rPr>
                <w:sz w:val="22"/>
                <w:szCs w:val="22"/>
                <w:highlight w:val="white"/>
                <w:rtl w:val="0"/>
              </w:rPr>
              <w:t xml:space="preserve">Qmax W</w:t>
            </w:r>
          </w:p>
        </w:tc>
        <w:tc>
          <w:tcPr/>
          <w:p w:rsidR="00000000" w:rsidDel="00000000" w:rsidP="00000000" w:rsidRDefault="00000000" w:rsidRPr="00000000" w14:paraId="000000DA">
            <w:pPr>
              <w:ind w:left="0" w:hanging="2"/>
              <w:rPr>
                <w:sz w:val="22"/>
                <w:szCs w:val="22"/>
                <w:highlight w:val="yellow"/>
              </w:rPr>
            </w:pPr>
            <w:r w:rsidDel="00000000" w:rsidR="00000000" w:rsidRPr="00000000">
              <w:rPr>
                <w:sz w:val="22"/>
                <w:szCs w:val="22"/>
                <w:rtl w:val="0"/>
              </w:rPr>
              <w:t xml:space="preserve">0.30±0.03</w:t>
            </w:r>
            <w:r w:rsidDel="00000000" w:rsidR="00000000" w:rsidRPr="00000000">
              <w:rPr>
                <w:rtl w:val="0"/>
              </w:rPr>
            </w:r>
          </w:p>
        </w:tc>
        <w:tc>
          <w:tcPr/>
          <w:p w:rsidR="00000000" w:rsidDel="00000000" w:rsidP="00000000" w:rsidRDefault="00000000" w:rsidRPr="00000000" w14:paraId="000000DB">
            <w:pPr>
              <w:ind w:left="0" w:hanging="2"/>
              <w:rPr>
                <w:sz w:val="22"/>
                <w:szCs w:val="22"/>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DE">
            <w:pPr>
              <w:ind w:left="0" w:hanging="2"/>
              <w:rPr>
                <w:sz w:val="22"/>
                <w:szCs w:val="22"/>
                <w:highlight w:val="white"/>
              </w:rPr>
            </w:pPr>
            <w:r w:rsidDel="00000000" w:rsidR="00000000" w:rsidRPr="00000000">
              <w:rPr>
                <w:sz w:val="22"/>
                <w:szCs w:val="22"/>
                <w:highlight w:val="white"/>
                <w:rtl w:val="0"/>
              </w:rPr>
              <w:t xml:space="preserve">Imax A</w:t>
            </w:r>
          </w:p>
          <w:p w:rsidR="00000000" w:rsidDel="00000000" w:rsidP="00000000" w:rsidRDefault="00000000" w:rsidRPr="00000000" w14:paraId="000000DF">
            <w:pPr>
              <w:ind w:left="0" w:hanging="2"/>
              <w:rPr>
                <w:sz w:val="22"/>
                <w:szCs w:val="22"/>
                <w:highlight w:val="white"/>
              </w:rPr>
            </w:pPr>
            <w:r w:rsidDel="00000000" w:rsidR="00000000" w:rsidRPr="00000000">
              <w:rPr>
                <w:sz w:val="22"/>
                <w:szCs w:val="22"/>
                <w:highlight w:val="white"/>
                <w:rtl w:val="0"/>
              </w:rPr>
              <w:t xml:space="preserve">Umax V</w:t>
            </w:r>
          </w:p>
          <w:p w:rsidR="00000000" w:rsidDel="00000000" w:rsidP="00000000" w:rsidRDefault="00000000" w:rsidRPr="00000000" w14:paraId="000000E0">
            <w:pPr>
              <w:ind w:left="0" w:hanging="2"/>
              <w:rPr>
                <w:sz w:val="22"/>
                <w:szCs w:val="22"/>
                <w:highlight w:val="white"/>
              </w:rPr>
            </w:pPr>
            <w:r w:rsidDel="00000000" w:rsidR="00000000" w:rsidRPr="00000000">
              <w:rPr>
                <w:sz w:val="22"/>
                <w:szCs w:val="22"/>
                <w:highlight w:val="white"/>
                <w:rtl w:val="0"/>
              </w:rPr>
              <w:t xml:space="preserve">ACR Ohm </w:t>
            </w:r>
          </w:p>
        </w:tc>
        <w:tc>
          <w:tcPr/>
          <w:p w:rsidR="00000000" w:rsidDel="00000000" w:rsidP="00000000" w:rsidRDefault="00000000" w:rsidRPr="00000000" w14:paraId="000000E1">
            <w:pPr>
              <w:spacing w:line="276" w:lineRule="auto"/>
              <w:ind w:left="0" w:hanging="2"/>
              <w:rPr>
                <w:sz w:val="22"/>
                <w:szCs w:val="22"/>
              </w:rPr>
            </w:pPr>
            <w:r w:rsidDel="00000000" w:rsidR="00000000" w:rsidRPr="00000000">
              <w:rPr>
                <w:sz w:val="22"/>
                <w:szCs w:val="22"/>
                <w:rtl w:val="0"/>
              </w:rPr>
              <w:t xml:space="preserve">0,5±0,05</w:t>
            </w:r>
          </w:p>
          <w:p w:rsidR="00000000" w:rsidDel="00000000" w:rsidP="00000000" w:rsidRDefault="00000000" w:rsidRPr="00000000" w14:paraId="000000E2">
            <w:pPr>
              <w:spacing w:line="276" w:lineRule="auto"/>
              <w:ind w:left="0" w:hanging="2"/>
              <w:rPr>
                <w:sz w:val="22"/>
                <w:szCs w:val="22"/>
              </w:rPr>
            </w:pPr>
            <w:r w:rsidDel="00000000" w:rsidR="00000000" w:rsidRPr="00000000">
              <w:rPr>
                <w:sz w:val="22"/>
                <w:szCs w:val="22"/>
                <w:rtl w:val="0"/>
              </w:rPr>
              <w:t xml:space="preserve">8,4±0,84</w:t>
            </w:r>
          </w:p>
          <w:p w:rsidR="00000000" w:rsidDel="00000000" w:rsidP="00000000" w:rsidRDefault="00000000" w:rsidRPr="00000000" w14:paraId="000000E3">
            <w:pPr>
              <w:spacing w:line="276" w:lineRule="auto"/>
              <w:ind w:left="0" w:hanging="2"/>
              <w:rPr>
                <w:sz w:val="22"/>
                <w:szCs w:val="22"/>
                <w:highlight w:val="yellow"/>
              </w:rPr>
            </w:pPr>
            <w:r w:rsidDel="00000000" w:rsidR="00000000" w:rsidRPr="00000000">
              <w:rPr>
                <w:sz w:val="22"/>
                <w:szCs w:val="22"/>
                <w:rtl w:val="0"/>
              </w:rPr>
              <w:t xml:space="preserve">14.90±1.49</w:t>
            </w:r>
            <w:r w:rsidDel="00000000" w:rsidR="00000000" w:rsidRPr="00000000">
              <w:rPr>
                <w:rtl w:val="0"/>
              </w:rPr>
            </w:r>
          </w:p>
        </w:tc>
        <w:tc>
          <w:tcPr/>
          <w:p w:rsidR="00000000" w:rsidDel="00000000" w:rsidP="00000000" w:rsidRDefault="00000000" w:rsidRPr="00000000" w14:paraId="000000E4">
            <w:pPr>
              <w:spacing w:line="276" w:lineRule="auto"/>
              <w:ind w:left="0" w:hanging="2"/>
              <w:rPr>
                <w:sz w:val="22"/>
                <w:szCs w:val="22"/>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E7">
            <w:pPr>
              <w:ind w:left="0" w:hanging="2"/>
              <w:rPr>
                <w:sz w:val="22"/>
                <w:szCs w:val="22"/>
                <w:highlight w:val="white"/>
              </w:rPr>
            </w:pPr>
            <w:r w:rsidDel="00000000" w:rsidR="00000000" w:rsidRPr="00000000">
              <w:rPr>
                <w:sz w:val="22"/>
                <w:szCs w:val="22"/>
                <w:highlight w:val="white"/>
                <w:rtl w:val="0"/>
              </w:rPr>
              <w:t xml:space="preserve">power connection</w:t>
            </w:r>
          </w:p>
        </w:tc>
        <w:tc>
          <w:tcPr/>
          <w:p w:rsidR="00000000" w:rsidDel="00000000" w:rsidP="00000000" w:rsidRDefault="00000000" w:rsidRPr="00000000" w14:paraId="000000E8">
            <w:pPr>
              <w:spacing w:line="276" w:lineRule="auto"/>
              <w:ind w:left="0" w:hanging="2"/>
              <w:rPr>
                <w:sz w:val="22"/>
                <w:szCs w:val="22"/>
                <w:highlight w:val="white"/>
              </w:rPr>
            </w:pPr>
            <w:r w:rsidDel="00000000" w:rsidR="00000000" w:rsidRPr="00000000">
              <w:rPr>
                <w:sz w:val="22"/>
                <w:szCs w:val="22"/>
                <w:rtl w:val="0"/>
              </w:rPr>
              <w:t xml:space="preserve">2(+) i 8(-)</w:t>
            </w:r>
            <w:r w:rsidDel="00000000" w:rsidR="00000000" w:rsidRPr="00000000">
              <w:rPr>
                <w:rtl w:val="0"/>
              </w:rPr>
            </w:r>
          </w:p>
        </w:tc>
        <w:tc>
          <w:tcPr/>
          <w:p w:rsidR="00000000" w:rsidDel="00000000" w:rsidP="00000000" w:rsidRDefault="00000000" w:rsidRPr="00000000" w14:paraId="000000E9">
            <w:pPr>
              <w:spacing w:line="276" w:lineRule="auto"/>
              <w:ind w:left="0" w:hanging="2"/>
              <w:rPr>
                <w:sz w:val="22"/>
                <w:szCs w:val="22"/>
              </w:rPr>
            </w:pPr>
            <w:r w:rsidDel="00000000" w:rsidR="00000000" w:rsidRPr="00000000">
              <w:rPr>
                <w:rtl w:val="0"/>
              </w:rPr>
            </w:r>
          </w:p>
        </w:tc>
      </w:tr>
    </w:tbl>
    <w:p w:rsidR="00000000" w:rsidDel="00000000" w:rsidP="00000000" w:rsidRDefault="00000000" w:rsidRPr="00000000" w14:paraId="000000EA">
      <w:pPr>
        <w:spacing w:line="360" w:lineRule="auto"/>
        <w:ind w:left="0" w:hanging="2"/>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EB">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Proposal Validity Period</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ED">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validity period of the proposal is 60 days from the final date of the time limit for the proposal submission, as defined in the Request for Proposal.</w:t>
      </w:r>
    </w:p>
    <w:p w:rsidR="00000000" w:rsidDel="00000000" w:rsidP="00000000" w:rsidRDefault="00000000" w:rsidRPr="00000000" w14:paraId="000000EE">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Contact Person</w:t>
      </w:r>
    </w:p>
    <w:p w:rsidR="00000000" w:rsidDel="00000000" w:rsidP="00000000" w:rsidRDefault="00000000" w:rsidRPr="00000000" w14:paraId="000000EF">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telephone number  [………………………•], e-mail  [………………………•].</w:t>
      </w:r>
    </w:p>
    <w:p w:rsidR="00000000" w:rsidDel="00000000" w:rsidP="00000000" w:rsidRDefault="00000000" w:rsidRPr="00000000" w14:paraId="000000F0">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Declaration</w:t>
      </w:r>
    </w:p>
    <w:p w:rsidR="00000000" w:rsidDel="00000000" w:rsidP="00000000" w:rsidRDefault="00000000" w:rsidRPr="00000000" w14:paraId="000000F1">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having read the Request for Proposal, particularly the terms and conditions of the Contract performance, contract, and does not raise any objections and also confirms the receipt of all the information necessary to prepare the following proposal and to perform the Contract.</w:t>
      </w:r>
    </w:p>
    <w:p w:rsidR="00000000" w:rsidDel="00000000" w:rsidP="00000000" w:rsidRDefault="00000000" w:rsidRPr="00000000" w14:paraId="000000F2">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the following proposal is considered to be the most favorable one, the Contractor undertakes to sign the contract with the Ordering Party at the time and in the place indicated by the Ordering Party.</w:t>
      </w:r>
    </w:p>
    <w:p w:rsidR="00000000" w:rsidDel="00000000" w:rsidP="00000000" w:rsidRDefault="00000000" w:rsidRPr="00000000" w14:paraId="000000F3">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agrees to perform the Contract described in the Request for Proposal in accordance with the requirements included in the Request for Proposal and with mandatory provisions of law and acting with due diligence.</w:t>
      </w:r>
    </w:p>
    <w:p w:rsidR="00000000" w:rsidDel="00000000" w:rsidP="00000000" w:rsidRDefault="00000000" w:rsidRPr="00000000" w14:paraId="000000F4">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as follows:</w:t>
      </w:r>
    </w:p>
    <w:p w:rsidR="00000000" w:rsidDel="00000000" w:rsidP="00000000" w:rsidRDefault="00000000" w:rsidRPr="00000000" w14:paraId="000000F5">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offered product completely complies with the specification included in the description of the subject of the contract;</w:t>
      </w:r>
    </w:p>
    <w:p w:rsidR="00000000" w:rsidDel="00000000" w:rsidP="00000000" w:rsidRDefault="00000000" w:rsidRPr="00000000" w14:paraId="000000F6">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product will be delivered in terms required in Request of Proposal </w:t>
      </w:r>
    </w:p>
    <w:p w:rsidR="00000000" w:rsidDel="00000000" w:rsidP="00000000" w:rsidRDefault="00000000" w:rsidRPr="00000000" w14:paraId="000000F7">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attached to this proposal constitute an integral part hereof.</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Signature</w:t>
      </w: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Attachments:</w:t>
      </w:r>
    </w:p>
    <w:p w:rsidR="00000000" w:rsidDel="00000000" w:rsidP="00000000" w:rsidRDefault="00000000" w:rsidRPr="00000000" w14:paraId="000000FE">
      <w:pPr>
        <w:numPr>
          <w:ilvl w:val="0"/>
          <w:numId w:val="4"/>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Extract from the Economic Operator's National Court Register / Extract from the Economic Operator's CEIDG / other registration document appropriate for the Contractor - issued not earlier than 3 months before the deadline for submitting bids - coming from the registration authority indicating the persons authorized to represent the Contractor.</w:t>
      </w:r>
    </w:p>
    <w:p w:rsidR="00000000" w:rsidDel="00000000" w:rsidP="00000000" w:rsidRDefault="00000000" w:rsidRPr="00000000" w14:paraId="000000FF">
      <w:pPr>
        <w:numPr>
          <w:ilvl w:val="0"/>
          <w:numId w:val="4"/>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Power of attorney (if the offer is submitted by an attorney-in-fact) Appendix No. 6 to the request for proposal;</w:t>
      </w:r>
    </w:p>
    <w:p w:rsidR="00000000" w:rsidDel="00000000" w:rsidP="00000000" w:rsidRDefault="00000000" w:rsidRPr="00000000" w14:paraId="00000100">
      <w:pPr>
        <w:numPr>
          <w:ilvl w:val="0"/>
          <w:numId w:val="4"/>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Contractor's declaration on meeting the conditions for participation in the procedure Appendix 4 to the request for proposal;</w:t>
      </w:r>
    </w:p>
    <w:p w:rsidR="00000000" w:rsidDel="00000000" w:rsidP="00000000" w:rsidRDefault="00000000" w:rsidRPr="00000000" w14:paraId="00000101">
      <w:pPr>
        <w:numPr>
          <w:ilvl w:val="0"/>
          <w:numId w:val="4"/>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Contractor's declaration on the lack of connections – Appendix No. 5 to the request for proposal;</w:t>
      </w:r>
    </w:p>
    <w:p w:rsidR="00000000" w:rsidDel="00000000" w:rsidP="00000000" w:rsidRDefault="00000000" w:rsidRPr="00000000" w14:paraId="00000102">
      <w:pPr>
        <w:numPr>
          <w:ilvl w:val="0"/>
          <w:numId w:val="4"/>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Description of the offered product;</w:t>
      </w:r>
    </w:p>
    <w:p w:rsidR="00000000" w:rsidDel="00000000" w:rsidP="00000000" w:rsidRDefault="00000000" w:rsidRPr="00000000" w14:paraId="00000103">
      <w:pPr>
        <w:numPr>
          <w:ilvl w:val="0"/>
          <w:numId w:val="4"/>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GDPR statement – Appendix No. 7 to the inquiry.</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Pr>
      <w:drawing>
        <wp:inline distB="0" distT="0" distL="114300" distR="114300">
          <wp:extent cx="6197600" cy="526415"/>
          <wp:effectExtent b="0" l="0" r="0" t="0"/>
          <wp:docPr descr="https://lh6.googleusercontent.com/XnDdrqx8P0df6INIXKuImHwYIe2MRQXpWeOAwU9veSTaIXmMbipCHAw1vc91ktREwH-gJN55X5mpy3pNHI6lGVP_NS_KQgaOh3b-jkWofujuiNW1GGYhfoipPNkkpAARSS0BJLg" id="1029" name="image1.png"/>
          <a:graphic>
            <a:graphicData uri="http://schemas.openxmlformats.org/drawingml/2006/picture">
              <pic:pic>
                <pic:nvPicPr>
                  <pic:cNvPr descr="https://lh6.googleusercontent.com/XnDdrqx8P0df6INIXKuImHwYIe2MRQXpWeOAwU9veSTaIXmMbipCHAw1vc91ktREwH-gJN55X5mpy3pNHI6lGVP_NS_KQgaOh3b-jkWofujuiNW1GGYhfoipPNkkpAARSS0BJLg" id="0" name="image1.png"/>
                  <pic:cNvPicPr preferRelativeResize="0"/>
                </pic:nvPicPr>
                <pic:blipFill>
                  <a:blip r:embed="rId1"/>
                  <a:srcRect b="0" l="0" r="0" t="0"/>
                  <a:stretch>
                    <a:fillRect/>
                  </a:stretch>
                </pic:blipFill>
                <pic:spPr>
                  <a:xfrm>
                    <a:off x="0" y="0"/>
                    <a:ext cx="6197600" cy="526415"/>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1028"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102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5350" cy="3613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962" w:hanging="567"/>
      </w:pPr>
      <w:rPr>
        <w:b w:val="1"/>
        <w:i w:val="0"/>
        <w:sz w:val="22"/>
        <w:szCs w:val="22"/>
        <w:vertAlign w:val="baseline"/>
      </w:rPr>
    </w:lvl>
    <w:lvl w:ilvl="1">
      <w:start w:val="1"/>
      <w:numFmt w:val="decimal"/>
      <w:lvlText w:val="%1.%2"/>
      <w:lvlJc w:val="left"/>
      <w:pPr>
        <w:ind w:left="2642" w:hanging="680"/>
      </w:pPr>
      <w:rPr>
        <w:b w:val="1"/>
        <w:i w:val="0"/>
        <w:sz w:val="21"/>
        <w:szCs w:val="21"/>
        <w:vertAlign w:val="baseline"/>
      </w:rPr>
    </w:lvl>
    <w:lvl w:ilvl="2">
      <w:start w:val="1"/>
      <w:numFmt w:val="decimal"/>
      <w:lvlText w:val="%1.%2.%3"/>
      <w:lvlJc w:val="left"/>
      <w:pPr>
        <w:ind w:left="3607" w:hanging="794.0000000000005"/>
      </w:pPr>
      <w:rPr>
        <w:b w:val="0"/>
        <w:i w:val="0"/>
        <w:sz w:val="22"/>
        <w:szCs w:val="22"/>
        <w:vertAlign w:val="baseline"/>
      </w:rPr>
    </w:lvl>
    <w:lvl w:ilvl="3">
      <w:start w:val="1"/>
      <w:numFmt w:val="decimal"/>
      <w:lvlText w:val="(%4)"/>
      <w:lvlJc w:val="left"/>
      <w:pPr>
        <w:ind w:left="4117" w:hanging="681"/>
      </w:pPr>
      <w:rPr>
        <w:rFonts w:ascii="Calibri" w:cs="Calibri" w:eastAsia="Calibri" w:hAnsi="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3">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lang/>
    </w:rPr>
  </w:style>
  <w:style w:type="paragraph" w:styleId="Nagwek1Hoofdstukkop" w:customStyle="1">
    <w:name w:val="Nagłówek 1;Hoofdstukkop"/>
    <w:basedOn w:val="Normalny"/>
    <w:next w:val="Tekstpodstawowy"/>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rPr>
      <w:lang/>
    </w:r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rPr>
      <w:lang/>
    </w:r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lang/>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spacing w:after="60" w:line="200" w:lineRule="atLeast"/>
      <w:ind w:left="227" w:hanging="227"/>
      <w:jc w:val="both"/>
    </w:pPr>
    <w:rPr>
      <w:kern w:val="20"/>
      <w:sz w:val="20"/>
      <w:szCs w:val="20"/>
      <w:lang/>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lang/>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numPr>
        <w:numId w:val="3"/>
      </w:numPr>
      <w:spacing w:after="140" w:line="290" w:lineRule="auto"/>
      <w:ind w:left="-1" w:hanging="1"/>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numPr>
        <w:ilvl w:val="5"/>
        <w:numId w:val="4"/>
      </w:numPr>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numPr>
        <w:numId w:val="4"/>
      </w:numPr>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numPr>
        <w:ilvl w:val="1"/>
        <w:numId w:val="4"/>
      </w:numPr>
      <w:suppressAutoHyphens w:val="1"/>
      <w:spacing w:after="140" w:line="290" w:lineRule="auto"/>
      <w:ind w:left="-1" w:leftChars="-1" w:hanging="1" w:hangingChars="1"/>
      <w:jc w:val="both"/>
      <w:textDirection w:val="btLr"/>
      <w:textAlignment w:val="top"/>
      <w:outlineLvl w:val="1"/>
    </w:pPr>
    <w:rPr>
      <w:kern w:val="20"/>
      <w:position w:val="-1"/>
      <w:sz w:val="22"/>
      <w:szCs w:val="22"/>
      <w:lang w:val="pl-PL"/>
    </w:rPr>
  </w:style>
  <w:style w:type="paragraph" w:styleId="GJPoziom3" w:customStyle="1">
    <w:name w:val="GJ Poziom 3"/>
    <w:pPr>
      <w:numPr>
        <w:ilvl w:val="2"/>
        <w:numId w:val="4"/>
      </w:numPr>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numPr>
        <w:ilvl w:val="3"/>
        <w:numId w:val="4"/>
      </w:numPr>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numPr>
        <w:ilvl w:val="4"/>
        <w:numId w:val="4"/>
      </w:numPr>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lang/>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567"/>
      </w:tabs>
      <w:spacing w:after="140" w:line="288" w:lineRule="auto"/>
      <w:ind w:left="567" w:leftChars="-1" w:hanging="567"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firstLine="562"/>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spacing w:after="140" w:before="280" w:line="290" w:lineRule="auto"/>
      <w:ind w:left="562" w:hanging="562"/>
      <w:jc w:val="both"/>
    </w:pPr>
    <w:rPr>
      <w:kern w:val="20"/>
      <w:sz w:val="22"/>
      <w:szCs w:val="22"/>
      <w:u w:val="single"/>
    </w:rPr>
  </w:style>
  <w:style w:type="paragraph" w:styleId="GJPunkty2" w:customStyle="1">
    <w:name w:val="GJ Punkty 2"/>
    <w:basedOn w:val="Normalny"/>
    <w:pPr>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spacing w:after="140" w:line="290" w:lineRule="auto"/>
      <w:ind w:left="562"/>
      <w:jc w:val="both"/>
      <w:outlineLvl w:val="2"/>
    </w:pPr>
    <w:rPr>
      <w:kern w:val="20"/>
      <w:sz w:val="22"/>
      <w:szCs w:val="22"/>
    </w:rPr>
  </w:style>
  <w:style w:type="paragraph" w:styleId="GJPunkty4" w:customStyle="1">
    <w:name w:val="GJ Punkty 4"/>
    <w:basedOn w:val="Normalny"/>
    <w:pPr>
      <w:spacing w:after="140" w:line="290" w:lineRule="auto"/>
      <w:ind w:left="562"/>
      <w:jc w:val="both"/>
      <w:outlineLvl w:val="3"/>
    </w:pPr>
    <w:rPr>
      <w:kern w:val="20"/>
      <w:sz w:val="22"/>
      <w:szCs w:val="22"/>
    </w:rPr>
  </w:style>
  <w:style w:type="paragraph" w:styleId="GJPunkty5" w:customStyle="1">
    <w:name w:val="GJ Punkty 5"/>
    <w:basedOn w:val="Normalny"/>
    <w:pPr>
      <w:spacing w:after="140" w:line="290" w:lineRule="auto"/>
      <w:ind w:left="562"/>
      <w:jc w:val="both"/>
      <w:outlineLvl w:val="4"/>
    </w:pPr>
    <w:rPr>
      <w:kern w:val="20"/>
      <w:sz w:val="22"/>
      <w:szCs w:val="22"/>
    </w:rPr>
  </w:style>
  <w:style w:type="paragraph" w:styleId="GJPunkty6" w:customStyle="1">
    <w:name w:val="GJ Punkty 6"/>
    <w:basedOn w:val="Normalny"/>
    <w:pPr>
      <w:widowControl w:val="0"/>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character" w:styleId="FontStyle17" w:customStyle="1">
    <w:name w:val="Font Style17"/>
    <w:rPr>
      <w:rFonts w:ascii="Calibri" w:cs="Calibri" w:hAnsi="Calibri"/>
      <w:color w:val="000000"/>
      <w:w w:val="100"/>
      <w:position w:val="-1"/>
      <w:sz w:val="20"/>
      <w:szCs w:val="20"/>
      <w:effect w:val="none"/>
      <w:vertAlign w:val="baseline"/>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NormalnyWeb">
    <w:name w:val="Normal (Web)"/>
    <w:basedOn w:val="Normalny"/>
    <w:qFormat w:val="1"/>
    <w:pPr>
      <w:spacing w:after="100" w:afterAutospacing="1" w:before="100" w:beforeAutospacing="1"/>
    </w:pPr>
    <w:rPr>
      <w:rFonts w:ascii="Times New Roman" w:cs="Times New Roman" w:hAnsi="Times New Roman"/>
      <w:lang w:eastAsia="pl-PL"/>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0" w:type="dxa"/>
        <w:left w:w="144.0" w:type="dxa"/>
        <w:bottom w:w="14.0" w:type="dxa"/>
        <w:right w:w="144.0" w:type="dxa"/>
      </w:tblCellMar>
    </w:tblPr>
  </w:style>
  <w:style w:type="table" w:styleId="a0" w:customSty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5n60fq+xMYIEDqY2sBCn7/reHg==">AMUW2mVYuXRKwKfsbdk/H7tEg/LL2P53jROqfrH/MESUz6QyL0OQdA200YGn2BQgbDpjEqezJnS+yES3fs6kXNxbrRXNrUZ4reB7iVo/sJEwJhmaVBRm9Yj/w05UrAkxt4IgAhX0t9f+Su5IedPUWnHLmBGePNv13yJGxeQrW+Al/5a4iLUQoBePXqMtqRh1EdpC++VqZiK4wjJ60s8WZaORs1ZyD28VGov8VeXT4a/uapL3XtmVqd4R/wBXaIIos1K4xx3iMTh9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2020-12-10T10:38:00Z</dcterms:created>
  <dc:creator>Jakub Pietrasik</dc:creator>
</cp:coreProperties>
</file>