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line="240" w:lineRule="auto"/>
        <w:ind w:left="0" w:hanging="2"/>
        <w:jc w:val="right"/>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Appendix 1</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480" w:line="24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Place, date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trHeight w:val="2823" w:hRule="atLeast"/>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b w:val="1"/>
                <w:color w:val="000000"/>
                <w:u w:val="single"/>
                <w:rtl w:val="0"/>
              </w:rPr>
              <w:t xml:space="preserve">Contractor:</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 address / registry court / KRS [National Court Register]</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color w:val="000000"/>
                <w:rtl w:val="0"/>
              </w:rPr>
              <w:t xml:space="preserve">number / NIP [Tax ID]</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color w:val="000000"/>
                <w:rtl w:val="0"/>
              </w:rPr>
              <w:t xml:space="preserve">/ REGON [Statistical Register Number] / contact person / e-mail address / telephone number]</w:t>
            </w:r>
          </w:p>
        </w:tc>
      </w:tr>
    </w:tbl>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480" w:before="2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Ordering Party</w:t>
      </w:r>
      <w:r w:rsidDel="00000000" w:rsidR="00000000" w:rsidRPr="00000000">
        <w:rPr>
          <w:rFonts w:ascii="Times New Roman" w:cs="Times New Roman" w:eastAsia="Times New Roman" w:hAnsi="Times New Roman"/>
          <w:color w:val="000000"/>
          <w:rtl w:val="0"/>
        </w:rPr>
        <w:t xml:space="preserve">: VIGO System Spółka Akcyjna, Joint-Stock Company with its registered office in Ożarów Mazowiecki, ul. Poznańska 129/133, 05-850 Ożarów Mazowiecki, entered into the Register of Entrepreneurs of the National Court Register kept by the District Court for the Capital City of Warsaw in Warsaw, 14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Commercial Division of the National Court Register, </w:t>
        <w:br w:type="textWrapping"/>
        <w:t xml:space="preserve">KRS (National Court Register) No. 0000113394,</w:t>
        <w:br w:type="textWrapping"/>
        <w:t xml:space="preserve">NIP (Tax ID): 5270207340, REGON (Statistical Register Number): 010265179, with the share capital of PLN 729,000.00 (paid up in full)</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60" w:before="240" w:line="240" w:lineRule="auto"/>
        <w:ind w:left="0" w:hanging="2"/>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PROPOSAL FORM </w:t>
        <w:br w:type="textWrapping"/>
        <w:t xml:space="preserve">FOR THE REQUEST FOR PROPOSALS no. SDM-WS/45 of </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May</w:t>
      </w:r>
      <w:r w:rsidDel="00000000" w:rsidR="00000000" w:rsidRPr="00000000">
        <w:rPr>
          <w:rFonts w:ascii="Times New Roman" w:cs="Times New Roman" w:eastAsia="Times New Roman" w:hAnsi="Times New Roman"/>
          <w:b w:val="1"/>
          <w:color w:val="000000"/>
          <w:rtl w:val="0"/>
        </w:rPr>
        <w:t xml:space="preserve"> 2021</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80" w:line="29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8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the undersigned [•], acting as [•] (hereinafter referred to as the “</w:t>
      </w:r>
      <w:r w:rsidDel="00000000" w:rsidR="00000000" w:rsidRPr="00000000">
        <w:rPr>
          <w:rFonts w:ascii="Times New Roman" w:cs="Times New Roman" w:eastAsia="Times New Roman" w:hAnsi="Times New Roman"/>
          <w:b w:val="1"/>
          <w:color w:val="000000"/>
          <w:rtl w:val="0"/>
        </w:rPr>
        <w:t xml:space="preserve">Contractor</w:t>
      </w:r>
      <w:r w:rsidDel="00000000" w:rsidR="00000000" w:rsidRPr="00000000">
        <w:rPr>
          <w:rFonts w:ascii="Times New Roman" w:cs="Times New Roman" w:eastAsia="Times New Roman" w:hAnsi="Times New Roman"/>
          <w:color w:val="000000"/>
          <w:rtl w:val="0"/>
        </w:rPr>
        <w:t xml:space="preserve">”), in response to the Request for Proposals no. SDM-WS/45 of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May</w:t>
      </w:r>
      <w:r w:rsidDel="00000000" w:rsidR="00000000" w:rsidRPr="00000000">
        <w:rPr>
          <w:rFonts w:ascii="Times New Roman" w:cs="Times New Roman" w:eastAsia="Times New Roman" w:hAnsi="Times New Roman"/>
          <w:color w:val="000000"/>
          <w:rtl w:val="0"/>
        </w:rPr>
        <w:t xml:space="preserve"> 2021 (thereinafter referred to as the “</w:t>
      </w:r>
      <w:r w:rsidDel="00000000" w:rsidR="00000000" w:rsidRPr="00000000">
        <w:rPr>
          <w:rFonts w:ascii="Times New Roman" w:cs="Times New Roman" w:eastAsia="Times New Roman" w:hAnsi="Times New Roman"/>
          <w:b w:val="1"/>
          <w:color w:val="000000"/>
          <w:rtl w:val="0"/>
        </w:rPr>
        <w:t xml:space="preserve">Request for Proposals</w:t>
      </w:r>
      <w:r w:rsidDel="00000000" w:rsidR="00000000" w:rsidRPr="00000000">
        <w:rPr>
          <w:rFonts w:ascii="Times New Roman" w:cs="Times New Roman" w:eastAsia="Times New Roman" w:hAnsi="Times New Roman"/>
          <w:color w:val="000000"/>
          <w:rtl w:val="0"/>
        </w:rPr>
        <w:t xml:space="preserve">”), hereby submit an offer for SIMS depth profiling for dopants and impurities and sufficient matrix elements in the epi-layer structures (thereinafter referred to as the “</w:t>
      </w:r>
      <w:r w:rsidDel="00000000" w:rsidR="00000000" w:rsidRPr="00000000">
        <w:rPr>
          <w:rFonts w:ascii="Times New Roman" w:cs="Times New Roman" w:eastAsia="Times New Roman" w:hAnsi="Times New Roman"/>
          <w:b w:val="1"/>
          <w:color w:val="000000"/>
          <w:rtl w:val="0"/>
        </w:rPr>
        <w:t xml:space="preserve">Order</w:t>
      </w:r>
      <w:r w:rsidDel="00000000" w:rsidR="00000000" w:rsidRPr="00000000">
        <w:rPr>
          <w:rFonts w:ascii="Times New Roman" w:cs="Times New Roman" w:eastAsia="Times New Roman" w:hAnsi="Times New Roman"/>
          <w:color w:val="000000"/>
          <w:rtl w:val="0"/>
        </w:rPr>
        <w:t xml:space="preserve">”), in accordance with the description of the subject of the order, the terms and conditions described in the Request for Proposals, for a comprehensive implementation by VIGO System Spółka Akcyjna, Joint-Stock Company with registered office in Ożarów Mazowiecki (thereinafter referred to as the “</w:t>
      </w:r>
      <w:r w:rsidDel="00000000" w:rsidR="00000000" w:rsidRPr="00000000">
        <w:rPr>
          <w:rFonts w:ascii="Times New Roman" w:cs="Times New Roman" w:eastAsia="Times New Roman" w:hAnsi="Times New Roman"/>
          <w:b w:val="1"/>
          <w:color w:val="000000"/>
          <w:rtl w:val="0"/>
        </w:rPr>
        <w:t xml:space="preserve">Ordering Party”</w:t>
      </w:r>
      <w:r w:rsidDel="00000000" w:rsidR="00000000" w:rsidRPr="00000000">
        <w:rPr>
          <w:rFonts w:ascii="Times New Roman" w:cs="Times New Roman" w:eastAsia="Times New Roman" w:hAnsi="Times New Roman"/>
          <w:color w:val="000000"/>
          <w:rtl w:val="0"/>
        </w:rPr>
        <w:t xml:space="preserve">) of a project named “Production technology of innovative epitaxial structures and VCSEL laser instruments for photonics development” as part of the Path for Mazovia / 2019 competition, application number: MAZOWSZE/0032/19, Agreement of November 21, 2019, No. MAZOWSZE/0032/19-00 concluded with the National Center for Research and Development.</w:t>
      </w:r>
    </w:p>
    <w:p w:rsidR="00000000" w:rsidDel="00000000" w:rsidP="00000000" w:rsidRDefault="00000000" w:rsidRPr="00000000" w14:paraId="00000012">
      <w:pPr>
        <w:keepNext w:val="1"/>
        <w:numPr>
          <w:ilvl w:val="0"/>
          <w:numId w:val="3"/>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Offered price for performing of one depth profile of epi-layers structures defined in point 2 of the Request for Proposal</w:t>
      </w:r>
    </w:p>
    <w:p w:rsidR="00000000" w:rsidDel="00000000" w:rsidP="00000000" w:rsidRDefault="00000000" w:rsidRPr="00000000" w14:paraId="00000013">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Net Price: [•]…………………… (in words: …………………… [•]).</w:t>
      </w:r>
    </w:p>
    <w:p w:rsidR="00000000" w:rsidDel="00000000" w:rsidP="00000000" w:rsidRDefault="00000000" w:rsidRPr="00000000" w14:paraId="00000014">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Gross Price: [•……………………] (in words: …………………… [•]).</w:t>
      </w:r>
    </w:p>
    <w:p w:rsidR="00000000" w:rsidDel="00000000" w:rsidP="00000000" w:rsidRDefault="00000000" w:rsidRPr="00000000" w14:paraId="00000015">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Value Added Tax: [•]…………………… (in words: ……………………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Full description </w:t>
      </w:r>
      <w:r w:rsidDel="00000000" w:rsidR="00000000" w:rsidRPr="00000000">
        <w:rPr>
          <w:b w:val="1"/>
          <w:color w:val="000000"/>
          <w:sz w:val="22"/>
          <w:szCs w:val="22"/>
          <w:u w:val="single"/>
          <w:rtl w:val="0"/>
        </w:rPr>
        <w:t xml:space="preserve">of the offer is attached to the offer</w:t>
      </w:r>
      <w:r w:rsidDel="00000000" w:rsidR="00000000" w:rsidRPr="00000000">
        <w:rPr>
          <w:color w:val="000000"/>
          <w:sz w:val="22"/>
          <w:szCs w:val="22"/>
          <w:rtl w:val="0"/>
        </w:rPr>
        <w:t xml:space="preserve">.</w:t>
      </w:r>
    </w:p>
    <w:p w:rsidR="00000000" w:rsidDel="00000000" w:rsidP="00000000" w:rsidRDefault="00000000" w:rsidRPr="00000000" w14:paraId="00000017">
      <w:pPr>
        <w:keepNext w:val="1"/>
        <w:numPr>
          <w:ilvl w:val="0"/>
          <w:numId w:val="3"/>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Proposal Validity Period</w:t>
      </w:r>
    </w:p>
    <w:p w:rsidR="00000000" w:rsidDel="00000000" w:rsidP="00000000" w:rsidRDefault="00000000" w:rsidRPr="00000000" w14:paraId="00000018">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validity period of the proposal is 60 days from the final date of the time limit for the offer submission, defined in the Request for Proposal.</w:t>
      </w:r>
    </w:p>
    <w:p w:rsidR="00000000" w:rsidDel="00000000" w:rsidP="00000000" w:rsidRDefault="00000000" w:rsidRPr="00000000" w14:paraId="00000019">
      <w:pPr>
        <w:keepNext w:val="1"/>
        <w:numPr>
          <w:ilvl w:val="0"/>
          <w:numId w:val="3"/>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Contractor’s Contact Person</w:t>
      </w:r>
    </w:p>
    <w:p w:rsidR="00000000" w:rsidDel="00000000" w:rsidP="00000000" w:rsidRDefault="00000000" w:rsidRPr="00000000" w14:paraId="0000001A">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 telephone number [•], e-mail [•].</w:t>
      </w:r>
    </w:p>
    <w:p w:rsidR="00000000" w:rsidDel="00000000" w:rsidP="00000000" w:rsidRDefault="00000000" w:rsidRPr="00000000" w14:paraId="0000001B">
      <w:pPr>
        <w:keepNext w:val="1"/>
        <w:numPr>
          <w:ilvl w:val="0"/>
          <w:numId w:val="3"/>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Contractor’s Statements</w:t>
      </w:r>
    </w:p>
    <w:p w:rsidR="00000000" w:rsidDel="00000000" w:rsidP="00000000" w:rsidRDefault="00000000" w:rsidRPr="00000000" w14:paraId="0000001C">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having read the Request for Proposals, particularly the terms and conditions of the Contract performance and does not raise any objections and also confirms the receipt of all the information necessary to prepare the following proposal and to perform the Contract.</w:t>
      </w:r>
    </w:p>
    <w:p w:rsidR="00000000" w:rsidDel="00000000" w:rsidP="00000000" w:rsidRDefault="00000000" w:rsidRPr="00000000" w14:paraId="0000001D">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not being related to the Ordering Party. An entity is considered to be a related contractor:</w:t>
      </w:r>
    </w:p>
    <w:p w:rsidR="00000000" w:rsidDel="00000000" w:rsidP="00000000" w:rsidRDefault="00000000" w:rsidRPr="00000000" w14:paraId="0000001E">
      <w:pPr>
        <w:numPr>
          <w:ilvl w:val="2"/>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associated or being a subsidiary, jointly controlled entity or parent in relation to the consortium leader or consortium member within the meaning of the Accounting Act of 29</w:t>
      </w:r>
      <w:r w:rsidDel="00000000" w:rsidR="00000000" w:rsidRPr="00000000">
        <w:rPr>
          <w:color w:val="000000"/>
          <w:sz w:val="22"/>
          <w:szCs w:val="22"/>
          <w:vertAlign w:val="superscript"/>
          <w:rtl w:val="0"/>
        </w:rPr>
        <w:t xml:space="preserve">th</w:t>
      </w:r>
      <w:r w:rsidDel="00000000" w:rsidR="00000000" w:rsidRPr="00000000">
        <w:rPr>
          <w:color w:val="000000"/>
          <w:sz w:val="22"/>
          <w:szCs w:val="22"/>
          <w:rtl w:val="0"/>
        </w:rPr>
        <w:t xml:space="preserve"> September 1994;</w:t>
      </w:r>
    </w:p>
    <w:p w:rsidR="00000000" w:rsidDel="00000000" w:rsidP="00000000" w:rsidRDefault="00000000" w:rsidRPr="00000000" w14:paraId="0000001F">
      <w:pPr>
        <w:numPr>
          <w:ilvl w:val="2"/>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custody, including through membership in the organs of a supplier of a good or service;</w:t>
      </w:r>
    </w:p>
    <w:p w:rsidR="00000000" w:rsidDel="00000000" w:rsidP="00000000" w:rsidRDefault="00000000" w:rsidRPr="00000000" w14:paraId="00000020">
      <w:pPr>
        <w:numPr>
          <w:ilvl w:val="2"/>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being a related entity or partner entity in relation to the consortium leader or consortium member within the meaning of Regulation No. 651/2014;</w:t>
      </w:r>
    </w:p>
    <w:p w:rsidR="00000000" w:rsidDel="00000000" w:rsidP="00000000" w:rsidRDefault="00000000" w:rsidRPr="00000000" w14:paraId="00000021">
      <w:pPr>
        <w:numPr>
          <w:ilvl w:val="2"/>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being an entity related personally to the consortium leader or consortium member within the meaning of art. 32 section 2 of the Act of 11 March 2004 on tax on goods and services. </w:t>
      </w:r>
    </w:p>
    <w:p w:rsidR="00000000" w:rsidDel="00000000" w:rsidP="00000000" w:rsidRDefault="00000000" w:rsidRPr="00000000" w14:paraId="00000022">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color w:val="000000"/>
          <w:sz w:val="22"/>
          <w:szCs w:val="22"/>
          <w:rtl w:val="0"/>
        </w:rPr>
        <w:t xml:space="preserve">The Contractor declares:</w:t>
      </w:r>
      <w:r w:rsidDel="00000000" w:rsidR="00000000" w:rsidRPr="00000000">
        <w:rPr>
          <w:rtl w:val="0"/>
        </w:rPr>
      </w:r>
    </w:p>
    <w:p w:rsidR="00000000" w:rsidDel="00000000" w:rsidP="00000000" w:rsidRDefault="00000000" w:rsidRPr="00000000" w14:paraId="00000023">
      <w:pPr>
        <w:numPr>
          <w:ilvl w:val="2"/>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having authority to perform specific activities or actions, if the provisions of the law impose an obligation to have them;</w:t>
      </w:r>
    </w:p>
    <w:p w:rsidR="00000000" w:rsidDel="00000000" w:rsidP="00000000" w:rsidRDefault="00000000" w:rsidRPr="00000000" w14:paraId="00000024">
      <w:pPr>
        <w:numPr>
          <w:ilvl w:val="2"/>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having necessary knowledge, experience and technical and human potential to perform the order;</w:t>
      </w:r>
    </w:p>
    <w:p w:rsidR="00000000" w:rsidDel="00000000" w:rsidP="00000000" w:rsidRDefault="00000000" w:rsidRPr="00000000" w14:paraId="00000025">
      <w:pPr>
        <w:numPr>
          <w:ilvl w:val="2"/>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being in an economic and financial situation ensuring performing of the order;</w:t>
      </w:r>
    </w:p>
    <w:p w:rsidR="00000000" w:rsidDel="00000000" w:rsidP="00000000" w:rsidRDefault="00000000" w:rsidRPr="00000000" w14:paraId="00000026">
      <w:pPr>
        <w:numPr>
          <w:ilvl w:val="2"/>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not being in arrears with taxes, fees and social security contributions.</w:t>
      </w:r>
    </w:p>
    <w:p w:rsidR="00000000" w:rsidDel="00000000" w:rsidP="00000000" w:rsidRDefault="00000000" w:rsidRPr="00000000" w14:paraId="00000027">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In case of considering this offer to be the most advantageous, the Contractor undertakes to implement the order within the term and place resulting from the Request for Proposals.</w:t>
      </w:r>
    </w:p>
    <w:p w:rsidR="00000000" w:rsidDel="00000000" w:rsidP="00000000" w:rsidRDefault="00000000" w:rsidRPr="00000000" w14:paraId="00000028">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undertakes performing the Order, described in the Request for Proposals, in accordance with the requirements of the Request of Proposals, provisions of the law in force and due diligence. </w:t>
      </w:r>
    </w:p>
    <w:p w:rsidR="00000000" w:rsidDel="00000000" w:rsidP="00000000" w:rsidRDefault="00000000" w:rsidRPr="00000000" w14:paraId="00000029">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2A">
      <w:pPr>
        <w:numPr>
          <w:ilvl w:val="2"/>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offered subject of the order completely complies with the specification set in the description of the subject of the order in each of the listed parameters;</w:t>
      </w:r>
    </w:p>
    <w:p w:rsidR="00000000" w:rsidDel="00000000" w:rsidP="00000000" w:rsidRDefault="00000000" w:rsidRPr="00000000" w14:paraId="0000002B">
      <w:pPr>
        <w:numPr>
          <w:ilvl w:val="2"/>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bookmarkStart w:colFirst="0" w:colLast="0" w:name="_heading=h.30j0zll" w:id="1"/>
      <w:bookmarkEnd w:id="1"/>
      <w:r w:rsidDel="00000000" w:rsidR="00000000" w:rsidRPr="00000000">
        <w:rPr>
          <w:color w:val="000000"/>
          <w:sz w:val="22"/>
          <w:szCs w:val="22"/>
          <w:rtl w:val="0"/>
        </w:rPr>
        <w:t xml:space="preserve">the subject of the Order will be delivered within the term set in the Request for Proposals.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Contractor’s Signature</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Attachments:</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excerpt from the National Court Register [KRS] / excerpt from the Central Records and Information on Economic Activities (CEIDG) / other registration document appropriate for the Contractor – competent for the Contractor not older than 3 months before the deadline for submitting tenders;</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Power of Attorney (if the proposal is submitted by a proxy);</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 description.</w:t>
      </w:r>
    </w:p>
    <w:sectPr>
      <w:headerReference r:id="rId7" w:type="default"/>
      <w:headerReference r:id="rId8" w:type="first"/>
      <w:footerReference r:id="rId9" w:type="default"/>
      <w:footerReference r:id="rId10" w:type="first"/>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Arial"/>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8877300</wp:posOffset>
              </wp:positionH>
              <wp:positionV relativeFrom="paragraph">
                <wp:posOffset>12700</wp:posOffset>
              </wp:positionV>
              <wp:extent cx="255905" cy="716915"/>
              <wp:effectExtent b="0" l="0" r="0" t="0"/>
              <wp:wrapNone/>
              <wp:docPr id="1032"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8877300</wp:posOffset>
              </wp:positionH>
              <wp:positionV relativeFrom="paragraph">
                <wp:posOffset>12700</wp:posOffset>
              </wp:positionV>
              <wp:extent cx="255905" cy="716915"/>
              <wp:effectExtent b="0" l="0" r="0" t="0"/>
              <wp:wrapNone/>
              <wp:docPr id="103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5905" cy="71691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sz w:val="22"/>
        <w:szCs w:val="22"/>
      </w:rPr>
      <w:drawing>
        <wp:inline distB="0" distT="0" distL="114300" distR="114300">
          <wp:extent cx="5391150" cy="1060450"/>
          <wp:effectExtent b="0" l="0" r="0" t="0"/>
          <wp:docPr id="103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1150" cy="106045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5575300</wp:posOffset>
              </wp:positionH>
              <wp:positionV relativeFrom="paragraph">
                <wp:posOffset>317500</wp:posOffset>
              </wp:positionV>
              <wp:extent cx="895350" cy="361315"/>
              <wp:effectExtent b="0" l="0" r="0" t="0"/>
              <wp:wrapSquare wrapText="bothSides" distB="0" distT="0" distL="0" distR="0"/>
              <wp:docPr id="1033" name=""/>
              <a:graphic>
                <a:graphicData uri="http://schemas.microsoft.com/office/word/2010/wordprocessingShape">
                  <wps:wsp>
                    <wps:cNvSpPr/>
                    <wps:cNvPr id="3" name="Shape 3"/>
                    <wps:spPr>
                      <a:xfrm>
                        <a:off x="4907850" y="3608868"/>
                        <a:ext cx="876300" cy="342265"/>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5575300</wp:posOffset>
              </wp:positionH>
              <wp:positionV relativeFrom="paragraph">
                <wp:posOffset>317500</wp:posOffset>
              </wp:positionV>
              <wp:extent cx="895350" cy="361315"/>
              <wp:effectExtent b="0" l="0" r="0" t="0"/>
              <wp:wrapSquare wrapText="bothSides" distB="0" distT="0" distL="0" distR="0"/>
              <wp:docPr id="103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895350" cy="3613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56"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562" w:hanging="562"/>
      </w:pPr>
      <w:rPr>
        <w:rFonts w:ascii="Arial" w:cs="Arial" w:eastAsia="Arial" w:hAnsi="Arial"/>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lowerLetter"/>
      <w:lvlText w:val="%3."/>
      <w:lvlJc w:val="left"/>
      <w:pPr>
        <w:ind w:left="2212" w:hanging="794.0000000000002"/>
      </w:pPr>
      <w:rPr>
        <w:b w:val="0"/>
        <w:i w:val="0"/>
        <w:sz w:val="22"/>
        <w:szCs w:val="22"/>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4"/>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4"/>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4"/>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4"/>
      </w:numPr>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4"/>
      </w:numPr>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4"/>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4"/>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4"/>
      </w:numPr>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paragraph" w:styleId="Nagwek1Hoofdstukkop" w:customStyle="1">
    <w:name w:val="Nagłówek 1;Hoofdstukkop"/>
    <w:basedOn w:val="Normalny"/>
    <w:next w:val="Tekstpodstawowy"/>
    <w:pPr>
      <w:keepNext w:val="1"/>
      <w:keepLines w:val="1"/>
      <w:numPr>
        <w:numId w:val="4"/>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720"/>
      </w:tabs>
      <w:spacing w:after="140" w:line="290" w:lineRule="auto"/>
      <w:jc w:val="both"/>
    </w:pPr>
    <w:rPr>
      <w:kern w:val="20"/>
    </w:rPr>
  </w:style>
  <w:style w:type="paragraph" w:styleId="GJZacznik2" w:customStyle="1">
    <w:name w:val="GJ Załącznik 2"/>
    <w:basedOn w:val="Normalny"/>
    <w:pPr>
      <w:tabs>
        <w:tab w:val="num" w:pos="1440"/>
      </w:tabs>
      <w:spacing w:after="140" w:line="290" w:lineRule="auto"/>
      <w:jc w:val="both"/>
      <w:outlineLvl w:val="1"/>
    </w:pPr>
    <w:rPr>
      <w:kern w:val="20"/>
      <w:sz w:val="22"/>
      <w:szCs w:val="22"/>
    </w:rPr>
  </w:style>
  <w:style w:type="paragraph" w:styleId="GJZacznik3" w:customStyle="1">
    <w:name w:val="GJ Załącznik 3"/>
    <w:basedOn w:val="Normalny"/>
    <w:pPr>
      <w:tabs>
        <w:tab w:val="num" w:pos="2160"/>
      </w:tabs>
      <w:spacing w:after="140" w:line="290" w:lineRule="auto"/>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600"/>
      </w:tabs>
      <w:spacing w:after="140" w:line="290" w:lineRule="auto"/>
      <w:jc w:val="both"/>
      <w:outlineLvl w:val="4"/>
    </w:pPr>
    <w:rPr>
      <w:kern w:val="20"/>
      <w:sz w:val="22"/>
      <w:szCs w:val="22"/>
    </w:rPr>
  </w:style>
  <w:style w:type="paragraph" w:styleId="GJZacznik6" w:customStyle="1">
    <w:name w:val="GJ Załącznik 6"/>
    <w:basedOn w:val="Normalny"/>
    <w:pPr>
      <w:tabs>
        <w:tab w:val="num" w:pos="4320"/>
      </w:tabs>
      <w:spacing w:after="140" w:line="290" w:lineRule="auto"/>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720"/>
      </w:tabs>
      <w:spacing w:after="140" w:line="290" w:lineRule="auto"/>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1" w:hangingChars="1"/>
      <w:jc w:val="both"/>
      <w:textDirection w:val="btLr"/>
      <w:textAlignment w:val="top"/>
      <w:outlineLvl w:val="0"/>
    </w:pPr>
    <w:rPr>
      <w:b w:val="1"/>
      <w:bCs w:val="1"/>
      <w:kern w:val="20"/>
      <w:position w:val="-1"/>
      <w:sz w:val="24"/>
      <w:szCs w:val="24"/>
      <w:lang w:eastAsia="en-US" w:val="pl-PL"/>
    </w:rPr>
  </w:style>
  <w:style w:type="paragraph" w:styleId="GJPoziom2" w:customStyle="1">
    <w:name w:val="GJ Poziom 2"/>
    <w:pPr>
      <w:tabs>
        <w:tab w:val="num" w:pos="1440"/>
      </w:tabs>
      <w:suppressAutoHyphens w:val="1"/>
      <w:spacing w:after="140" w:line="290" w:lineRule="auto"/>
      <w:ind w:left="-1" w:leftChars="-1" w:hanging="1" w:hangingChars="1"/>
      <w:jc w:val="both"/>
      <w:textDirection w:val="btLr"/>
      <w:textAlignment w:val="top"/>
      <w:outlineLvl w:val="1"/>
    </w:pPr>
    <w:rPr>
      <w:kern w:val="20"/>
      <w:position w:val="-1"/>
      <w:sz w:val="22"/>
      <w:szCs w:val="22"/>
      <w:lang w:val="pl-PL"/>
    </w:rPr>
  </w:style>
  <w:style w:type="paragraph" w:styleId="GJPoziom3" w:customStyle="1">
    <w:name w:val="GJ Poziom 3"/>
    <w:pPr>
      <w:tabs>
        <w:tab w:val="num" w:pos="2160"/>
      </w:tabs>
      <w:suppressAutoHyphens w:val="1"/>
      <w:spacing w:after="140" w:line="290" w:lineRule="auto"/>
      <w:ind w:left="-1" w:leftChars="-1" w:hanging="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567"/>
      </w:tabs>
      <w:spacing w:after="140" w:line="288" w:lineRule="auto"/>
      <w:ind w:left="567" w:leftChars="-1" w:hanging="567"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spacing w:after="140" w:before="280" w:line="290" w:lineRule="auto"/>
      <w:ind w:left="562" w:hanging="562"/>
      <w:jc w:val="both"/>
    </w:pPr>
    <w:rPr>
      <w:kern w:val="20"/>
      <w:sz w:val="22"/>
      <w:szCs w:val="22"/>
      <w:u w:val="single"/>
    </w:rPr>
  </w:style>
  <w:style w:type="paragraph" w:styleId="GJPunkty2" w:customStyle="1">
    <w:name w:val="GJ Punkty 2"/>
    <w:basedOn w:val="Normalny"/>
    <w:pPr>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spacing w:after="140" w:line="290" w:lineRule="auto"/>
      <w:ind w:left="562"/>
      <w:jc w:val="both"/>
      <w:outlineLvl w:val="2"/>
    </w:pPr>
    <w:rPr>
      <w:kern w:val="20"/>
      <w:sz w:val="22"/>
      <w:szCs w:val="22"/>
    </w:rPr>
  </w:style>
  <w:style w:type="paragraph" w:styleId="GJPunkty4" w:customStyle="1">
    <w:name w:val="GJ Punkty 4"/>
    <w:basedOn w:val="Normalny"/>
    <w:pPr>
      <w:spacing w:after="140" w:line="290" w:lineRule="auto"/>
      <w:ind w:left="562"/>
      <w:jc w:val="both"/>
      <w:outlineLvl w:val="3"/>
    </w:pPr>
    <w:rPr>
      <w:kern w:val="20"/>
      <w:sz w:val="22"/>
      <w:szCs w:val="22"/>
    </w:rPr>
  </w:style>
  <w:style w:type="paragraph" w:styleId="GJPunkty5" w:customStyle="1">
    <w:name w:val="GJ Punkty 5"/>
    <w:basedOn w:val="Normalny"/>
    <w:pPr>
      <w:spacing w:after="140" w:line="290" w:lineRule="auto"/>
      <w:ind w:left="562"/>
      <w:jc w:val="both"/>
      <w:outlineLvl w:val="4"/>
    </w:pPr>
    <w:rPr>
      <w:kern w:val="20"/>
      <w:sz w:val="22"/>
      <w:szCs w:val="22"/>
    </w:rPr>
  </w:style>
  <w:style w:type="paragraph" w:styleId="GJPunkty6" w:customStyle="1">
    <w:name w:val="GJ Punkty 6"/>
    <w:basedOn w:val="Normalny"/>
    <w:pPr>
      <w:widowControl w:val="0"/>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character" w:styleId="FontStyle17" w:customStyle="1">
    <w:name w:val="Font Style17"/>
    <w:rPr>
      <w:rFonts w:ascii="Calibri" w:cs="Calibri" w:hAnsi="Calibri"/>
      <w:color w:val="000000"/>
      <w:w w:val="100"/>
      <w:position w:val="-1"/>
      <w:sz w:val="20"/>
      <w:szCs w:val="20"/>
      <w:effect w:val="none"/>
      <w:vertAlign w:val="baseline"/>
      <w:cs w:val="0"/>
      <w:em w:val="none"/>
    </w:rPr>
  </w:style>
  <w:style w:type="character" w:styleId="FontStyle21" w:customStyle="1">
    <w:name w:val="Font Style21"/>
    <w:rPr>
      <w:rFonts w:ascii="Calibri" w:cs="Calibri" w:hAnsi="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4.0" w:type="dxa"/>
        <w:left w:w="144.0" w:type="dxa"/>
        <w:bottom w:w="14.0" w:type="dxa"/>
        <w:right w:w="144.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44.0" w:type="dxa"/>
        <w:bottom w:w="14.0" w:type="dxa"/>
        <w:right w:w="1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dnVVrV6iAulijY/Y6fHCLkJPA==">AMUW2mUejax5wT275d9RlYjOztcvZzEO4spuK2OnEVBjZn/B9OeiVuvnIkV2WN/QmsyVYPyX/q2qz5x4mx3u9q7e98dIEKXt1RJ7Rz+88bcbJwMTOfYCATnKip/d0AmuusruEaHJLODf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2021-04-29T07:29:00Z</dcterms:created>
  <dc:creator>Jakub Pietrasik</dc:creator>
</cp:coreProperties>
</file>