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bookmarkStart w:colFirst="0" w:colLast="0" w:name="_heading=h.1fob9te" w:id="0"/>
      <w:bookmarkEnd w:id="0"/>
      <w:r w:rsidDel="00000000" w:rsidR="00000000" w:rsidRPr="00000000">
        <w:rPr>
          <w:b w:val="1"/>
          <w:rtl w:val="0"/>
        </w:rPr>
        <w:t xml:space="preserve">O</w:t>
      </w:r>
      <w:r w:rsidDel="00000000" w:rsidR="00000000" w:rsidRPr="00000000">
        <w:rPr>
          <w:b w:val="1"/>
          <w:rtl w:val="0"/>
        </w:rPr>
        <w:t xml:space="preserve">RDER DESCRIPTION</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contract is a thermoelectric cooler in the amount of</w:t>
      </w:r>
    </w:p>
    <w:p w:rsidR="00000000" w:rsidDel="00000000" w:rsidP="00000000" w:rsidRDefault="00000000" w:rsidRPr="00000000" w14:paraId="00000004">
      <w:pPr>
        <w:numPr>
          <w:ilvl w:val="0"/>
          <w:numId w:val="2"/>
        </w:numPr>
        <w:spacing w:after="0" w:line="240" w:lineRule="auto"/>
        <w:ind w:left="720" w:hanging="360"/>
        <w:jc w:val="both"/>
        <w:rPr/>
      </w:pPr>
      <w:r w:rsidDel="00000000" w:rsidR="00000000" w:rsidRPr="00000000">
        <w:rPr>
          <w:rtl w:val="0"/>
        </w:rPr>
        <w:t xml:space="preserve">thermoelectric cooler 2TE on TO8-12 header</w:t>
        <w:tab/>
        <w:tab/>
        <w:tab/>
        <w:t xml:space="preserve"> 210 pcs</w:t>
      </w:r>
    </w:p>
    <w:p w:rsidR="00000000" w:rsidDel="00000000" w:rsidP="00000000" w:rsidRDefault="00000000" w:rsidRPr="00000000" w14:paraId="00000005">
      <w:pPr>
        <w:spacing w:after="0" w:line="240" w:lineRule="auto"/>
        <w:ind w:left="0" w:firstLine="0"/>
        <w:jc w:val="both"/>
        <w:rPr/>
      </w:pPr>
      <w:r w:rsidDel="00000000" w:rsidR="00000000" w:rsidRPr="00000000">
        <w:rPr>
          <w:rtl w:val="0"/>
        </w:rPr>
      </w:r>
    </w:p>
    <w:p w:rsidR="00000000" w:rsidDel="00000000" w:rsidP="00000000" w:rsidRDefault="00000000" w:rsidRPr="00000000" w14:paraId="00000006">
      <w:pPr>
        <w:spacing w:after="0" w:line="240" w:lineRule="auto"/>
        <w:rPr>
          <w:b w:val="1"/>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A detailed description of the subject of the contract is provided in section 5 of this document. </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Criterion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360" w:firstLine="0"/>
        <w:rPr>
          <w:b w:val="1"/>
          <w:color w:val="000000"/>
          <w:u w:val="single"/>
        </w:rPr>
      </w:pPr>
      <w:r w:rsidDel="00000000" w:rsidR="00000000" w:rsidRPr="00000000">
        <w:rPr>
          <w:color w:val="000000"/>
          <w:rtl w:val="0"/>
        </w:rPr>
        <w:t xml:space="preserve">Offers will be evaluated according to a point scale with a maximum number of points of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D">
            <w:pPr>
              <w:widowControl w:val="0"/>
              <w:spacing w:after="0" w:line="240" w:lineRule="auto"/>
              <w:jc w:val="center"/>
              <w:rPr/>
            </w:pPr>
            <w:r w:rsidDel="00000000" w:rsidR="00000000" w:rsidRPr="00000000">
              <w:rPr>
                <w:rtl w:val="0"/>
              </w:rPr>
              <w:t xml:space="preserve">Criterion</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E">
            <w:pPr>
              <w:widowControl w:val="0"/>
              <w:spacing w:after="0" w:line="240" w:lineRule="auto"/>
              <w:jc w:val="center"/>
              <w:rPr/>
            </w:pPr>
            <w:r w:rsidDel="00000000" w:rsidR="00000000" w:rsidRPr="00000000">
              <w:rPr>
                <w:rtl w:val="0"/>
              </w:rPr>
              <w:t xml:space="preserve">Maximum number of points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0F">
            <w:pPr>
              <w:widowControl w:val="0"/>
              <w:spacing w:after="0" w:line="240" w:lineRule="auto"/>
              <w:jc w:val="center"/>
              <w:rPr/>
            </w:pPr>
            <w:r w:rsidDel="00000000" w:rsidR="00000000" w:rsidRPr="00000000">
              <w:rPr>
                <w:rtl w:val="0"/>
              </w:rPr>
              <w:t xml:space="preserve">Method of awarding points</w:t>
            </w:r>
          </w:p>
        </w:tc>
      </w:tr>
      <w:t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0">
            <w:pPr>
              <w:widowControl w:val="0"/>
              <w:spacing w:after="0" w:line="240" w:lineRule="auto"/>
              <w:rPr/>
            </w:pPr>
            <w:r w:rsidDel="00000000" w:rsidR="00000000" w:rsidRPr="00000000">
              <w:rPr>
                <w:rtl w:val="0"/>
              </w:rPr>
              <w:t xml:space="preserve">Price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1">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Where:</w:t>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Pi – price of goods with delivery - for the given offer</w:t>
      </w:r>
    </w:p>
    <w:p w:rsidR="00000000" w:rsidDel="00000000" w:rsidP="00000000" w:rsidRDefault="00000000" w:rsidRPr="00000000" w14:paraId="00000016">
      <w:pPr>
        <w:numPr>
          <w:ilvl w:val="0"/>
          <w:numId w:val="3"/>
        </w:numPr>
        <w:spacing w:after="0" w:line="240" w:lineRule="auto"/>
        <w:ind w:left="720" w:hanging="360"/>
        <w:jc w:val="both"/>
        <w:rPr/>
      </w:pPr>
      <w:r w:rsidDel="00000000" w:rsidR="00000000" w:rsidRPr="00000000">
        <w:rPr>
          <w:rtl w:val="0"/>
        </w:rPr>
        <w:t xml:space="preserve">Pmin - the minimum delivery price for the ordered goods from all offers submitted</w:t>
      </w:r>
    </w:p>
    <w:p w:rsidR="00000000" w:rsidDel="00000000" w:rsidP="00000000" w:rsidRDefault="00000000" w:rsidRPr="00000000" w14:paraId="00000017">
      <w:pPr>
        <w:numPr>
          <w:ilvl w:val="0"/>
          <w:numId w:val="3"/>
        </w:numPr>
        <w:spacing w:after="0" w:line="240" w:lineRule="auto"/>
        <w:ind w:left="720" w:hanging="360"/>
        <w:jc w:val="both"/>
        <w:rPr/>
      </w:pPr>
      <w:r w:rsidDel="00000000" w:rsidR="00000000" w:rsidRPr="00000000">
        <w:rPr>
          <w:rtl w:val="0"/>
        </w:rPr>
        <w:t xml:space="preserve">S – number of points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t xml:space="preserve">The final score will be calculated by adding up the partial components and then rounded to two decimal places (rounded from "5" up).</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Deadline for completing the order</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360" w:lineRule="auto"/>
        <w:ind w:left="360" w:firstLine="0"/>
        <w:rPr/>
      </w:pPr>
      <w:r w:rsidDel="00000000" w:rsidR="00000000" w:rsidRPr="00000000">
        <w:rPr>
          <w:rtl w:val="0"/>
        </w:rPr>
        <w:t xml:space="preserve">The Order shall be completed within 6 weeks from the date of placing the order. The Ordering Party requires the application of the EXW Incoterms 2020 delivery principle. EXW (ex works), i.e. the moment of delivery of the goods is considered to be at the disposal of the buyer in the area indicated by the supplier (factory, plant,etc.).</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360" w:lineRule="auto"/>
        <w:ind w:left="360" w:firstLine="0"/>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Parameters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Detailed scope of the subject</w:t>
      </w:r>
    </w:p>
    <w:tbl>
      <w:tblPr>
        <w:tblStyle w:val="Table2"/>
        <w:tblW w:w="10068.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2126"/>
        <w:gridCol w:w="4252"/>
        <w:tblGridChange w:id="0">
          <w:tblGrid>
            <w:gridCol w:w="3690"/>
            <w:gridCol w:w="2126"/>
            <w:gridCol w:w="4252"/>
          </w:tblGrid>
        </w:tblGridChange>
      </w:tblGrid>
      <w:tr>
        <w:trPr>
          <w:trHeight w:val="240" w:hRule="atLeast"/>
        </w:trPr>
        <w:tc>
          <w:tcPr>
            <w:shd w:fill="dddddd" w:val="cle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Parametrer</w:t>
            </w:r>
          </w:p>
        </w:tc>
        <w:tc>
          <w:tcPr>
            <w:shd w:fill="dddddd" w:val="cle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Specification</w:t>
            </w:r>
          </w:p>
        </w:tc>
      </w:tr>
      <w:tr>
        <w:trPr>
          <w:trHeight w:val="330" w:hRule="atLeast"/>
        </w:trPr>
        <w:tc>
          <w:tcPr>
            <w:vMerge w:val="restart"/>
            <w:vAlign w:val="center"/>
          </w:tcPr>
          <w:p w:rsidR="00000000" w:rsidDel="00000000" w:rsidP="00000000" w:rsidRDefault="00000000" w:rsidRPr="00000000" w14:paraId="00000021">
            <w:pPr>
              <w:spacing w:after="0" w:line="240" w:lineRule="auto"/>
              <w:jc w:val="both"/>
              <w:rPr>
                <w:b w:val="1"/>
                <w:highlight w:val="white"/>
              </w:rPr>
            </w:pPr>
            <w:r w:rsidDel="00000000" w:rsidR="00000000" w:rsidRPr="00000000">
              <w:rPr>
                <w:b w:val="1"/>
                <w:highlight w:val="white"/>
                <w:rtl w:val="0"/>
              </w:rPr>
              <w:t xml:space="preserve">Thermoelectric cooler 2TE on TO8 12 pin heade</w:t>
            </w:r>
            <w:r w:rsidDel="00000000" w:rsidR="00000000" w:rsidRPr="00000000">
              <w:rPr>
                <w:highlight w:val="white"/>
                <w:rtl w:val="0"/>
              </w:rPr>
              <w:t xml:space="preserve">r</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2">
            <w:pPr>
              <w:spacing w:after="0" w:line="240" w:lineRule="auto"/>
              <w:rPr>
                <w:color w:val="000000"/>
                <w:highlight w:val="white"/>
              </w:rPr>
            </w:pPr>
            <w:r w:rsidDel="00000000" w:rsidR="00000000" w:rsidRPr="00000000">
              <w:rPr>
                <w:highlight w:val="white"/>
                <w:rtl w:val="0"/>
              </w:rPr>
              <w:t xml:space="preserve">Top Ceramics (cold side)</w:t>
            </w:r>
            <w:r w:rsidDel="00000000" w:rsidR="00000000" w:rsidRPr="00000000">
              <w:rPr>
                <w:rtl w:val="0"/>
              </w:rPr>
            </w:r>
          </w:p>
        </w:tc>
        <w:tc>
          <w:tcPr/>
          <w:p w:rsidR="00000000" w:rsidDel="00000000" w:rsidP="00000000" w:rsidRDefault="00000000" w:rsidRPr="00000000" w14:paraId="00000023">
            <w:pPr>
              <w:spacing w:after="0" w:line="240" w:lineRule="auto"/>
              <w:rPr>
                <w:highlight w:val="white"/>
              </w:rPr>
            </w:pPr>
            <w:r w:rsidDel="00000000" w:rsidR="00000000" w:rsidRPr="00000000">
              <w:rPr>
                <w:highlight w:val="white"/>
                <w:rtl w:val="0"/>
              </w:rPr>
              <w:t xml:space="preserve">material Al2O3 blank, no metallization, upper stage size 3,2x3,2mm 0,1mm, Ra&lt;0,1</w:t>
            </w:r>
          </w:p>
        </w:tc>
      </w:tr>
      <w:tr>
        <w:trPr>
          <w:trHeight w:val="330" w:hRule="atLeast"/>
        </w:trPr>
        <w:tc>
          <w:tcPr>
            <w:vMerge w:val="continue"/>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5">
            <w:pPr>
              <w:spacing w:after="0" w:line="240" w:lineRule="auto"/>
              <w:rPr>
                <w:highlight w:val="white"/>
              </w:rPr>
            </w:pPr>
            <w:r w:rsidDel="00000000" w:rsidR="00000000" w:rsidRPr="00000000">
              <w:rPr>
                <w:highlight w:val="white"/>
                <w:rtl w:val="0"/>
              </w:rPr>
              <w:t xml:space="preserve">Middle ceramics</w:t>
            </w:r>
          </w:p>
        </w:tc>
        <w:tc>
          <w:tcPr/>
          <w:p w:rsidR="00000000" w:rsidDel="00000000" w:rsidP="00000000" w:rsidRDefault="00000000" w:rsidRPr="00000000" w14:paraId="00000026">
            <w:pPr>
              <w:spacing w:after="0" w:line="240" w:lineRule="auto"/>
              <w:rPr>
                <w:highlight w:val="white"/>
              </w:rPr>
            </w:pPr>
            <w:r w:rsidDel="00000000" w:rsidR="00000000" w:rsidRPr="00000000">
              <w:rPr>
                <w:highlight w:val="white"/>
                <w:rtl w:val="0"/>
              </w:rPr>
              <w:t xml:space="preserve">Al2O3 with VIAS</w:t>
            </w:r>
          </w:p>
        </w:tc>
      </w:tr>
      <w:tr>
        <w:trPr>
          <w:trHeight w:val="330" w:hRule="atLeast"/>
        </w:trPr>
        <w:tc>
          <w:tcPr>
            <w:vMerge w:val="continue"/>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8">
            <w:pPr>
              <w:spacing w:after="0" w:line="240" w:lineRule="auto"/>
              <w:rPr>
                <w:highlight w:val="white"/>
              </w:rPr>
            </w:pPr>
            <w:r w:rsidDel="00000000" w:rsidR="00000000" w:rsidRPr="00000000">
              <w:rPr>
                <w:highlight w:val="white"/>
                <w:rtl w:val="0"/>
              </w:rPr>
              <w:t xml:space="preserve">bottom ceramics</w:t>
            </w:r>
          </w:p>
        </w:tc>
        <w:tc>
          <w:tcPr/>
          <w:p w:rsidR="00000000" w:rsidDel="00000000" w:rsidP="00000000" w:rsidRDefault="00000000" w:rsidRPr="00000000" w14:paraId="00000029">
            <w:pPr>
              <w:spacing w:after="0" w:line="240" w:lineRule="auto"/>
              <w:rPr>
                <w:highlight w:val="white"/>
              </w:rPr>
            </w:pPr>
            <w:r w:rsidDel="00000000" w:rsidR="00000000" w:rsidRPr="00000000">
              <w:rPr>
                <w:highlight w:val="white"/>
                <w:rtl w:val="0"/>
              </w:rPr>
              <w:t xml:space="preserve">Al2O3, Au plated 0,2 um</w:t>
            </w:r>
          </w:p>
        </w:tc>
      </w:tr>
      <w:tr>
        <w:trPr>
          <w:trHeight w:val="330" w:hRule="atLeast"/>
        </w:trPr>
        <w:tc>
          <w:tcPr>
            <w:vMerge w:val="continue"/>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B">
            <w:pPr>
              <w:spacing w:after="0" w:line="240" w:lineRule="auto"/>
              <w:rPr>
                <w:highlight w:val="white"/>
              </w:rPr>
            </w:pPr>
            <w:r w:rsidDel="00000000" w:rsidR="00000000" w:rsidRPr="00000000">
              <w:rPr>
                <w:highlight w:val="white"/>
                <w:rtl w:val="0"/>
              </w:rPr>
              <w:t xml:space="preserve">pellets</w:t>
            </w:r>
          </w:p>
        </w:tc>
        <w:tc>
          <w:tcPr/>
          <w:p w:rsidR="00000000" w:rsidDel="00000000" w:rsidP="00000000" w:rsidRDefault="00000000" w:rsidRPr="00000000" w14:paraId="0000002C">
            <w:pPr>
              <w:spacing w:after="0" w:line="240" w:lineRule="auto"/>
              <w:rPr>
                <w:highlight w:val="white"/>
              </w:rPr>
            </w:pPr>
            <w:r w:rsidDel="00000000" w:rsidR="00000000" w:rsidRPr="00000000">
              <w:rPr>
                <w:highlight w:val="white"/>
                <w:rtl w:val="0"/>
              </w:rPr>
              <w:t xml:space="preserve">BiTe with Ni barrier layer</w:t>
            </w:r>
          </w:p>
        </w:tc>
      </w:tr>
      <w:tr>
        <w:trPr>
          <w:trHeight w:val="343" w:hRule="atLeast"/>
        </w:trPr>
        <w:tc>
          <w:tcPr>
            <w:vMerge w:val="continue"/>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Borders>
              <w:bottom w:color="000000" w:space="0" w:sz="4" w:val="single"/>
            </w:tcBorders>
            <w:tcMar>
              <w:top w:w="55.0" w:type="dxa"/>
              <w:left w:w="55.0" w:type="dxa"/>
              <w:bottom w:w="55.0" w:type="dxa"/>
              <w:right w:w="55.0" w:type="dxa"/>
            </w:tcMar>
          </w:tcPr>
          <w:p w:rsidR="00000000" w:rsidDel="00000000" w:rsidP="00000000" w:rsidRDefault="00000000" w:rsidRPr="00000000" w14:paraId="0000002E">
            <w:pPr>
              <w:spacing w:after="0" w:line="240" w:lineRule="auto"/>
              <w:rPr>
                <w:highlight w:val="white"/>
              </w:rPr>
            </w:pPr>
            <w:r w:rsidDel="00000000" w:rsidR="00000000" w:rsidRPr="00000000">
              <w:rPr>
                <w:highlight w:val="white"/>
                <w:rtl w:val="0"/>
              </w:rPr>
              <w:t xml:space="preserve">terminal wires AWG32</w:t>
            </w:r>
          </w:p>
        </w:tc>
        <w:tc>
          <w:tcPr>
            <w:tcBorders>
              <w:bottom w:color="000000" w:space="0" w:sz="4" w:val="single"/>
            </w:tcBorders>
          </w:tcPr>
          <w:p w:rsidR="00000000" w:rsidDel="00000000" w:rsidP="00000000" w:rsidRDefault="00000000" w:rsidRPr="00000000" w14:paraId="0000002F">
            <w:pPr>
              <w:spacing w:after="0" w:line="240" w:lineRule="auto"/>
              <w:rPr>
                <w:highlight w:val="white"/>
              </w:rPr>
            </w:pPr>
            <w:r w:rsidDel="00000000" w:rsidR="00000000" w:rsidRPr="00000000">
              <w:rPr>
                <w:highlight w:val="white"/>
                <w:rtl w:val="0"/>
              </w:rPr>
              <w:t xml:space="preserve"> blank tinned copper 0,202 mm dia</w:t>
            </w:r>
          </w:p>
        </w:tc>
      </w:tr>
      <w:tr>
        <w:trPr>
          <w:trHeight w:val="330" w:hRule="atLeast"/>
        </w:trPr>
        <w:tc>
          <w:tcPr>
            <w:vMerge w:val="continue"/>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1">
            <w:pPr>
              <w:spacing w:after="0" w:line="240" w:lineRule="auto"/>
              <w:rPr>
                <w:highlight w:val="white"/>
              </w:rPr>
            </w:pPr>
            <w:r w:rsidDel="00000000" w:rsidR="00000000" w:rsidRPr="00000000">
              <w:rPr>
                <w:highlight w:val="white"/>
                <w:rtl w:val="0"/>
              </w:rPr>
              <w:t xml:space="preserve">Assembling Solder</w:t>
            </w:r>
          </w:p>
        </w:tc>
        <w:tc>
          <w:tcPr/>
          <w:p w:rsidR="00000000" w:rsidDel="00000000" w:rsidP="00000000" w:rsidRDefault="00000000" w:rsidRPr="00000000" w14:paraId="00000032">
            <w:pPr>
              <w:spacing w:after="0" w:line="240" w:lineRule="auto"/>
              <w:rPr>
                <w:color w:val="000000"/>
                <w:highlight w:val="white"/>
              </w:rPr>
            </w:pPr>
            <w:r w:rsidDel="00000000" w:rsidR="00000000" w:rsidRPr="00000000">
              <w:rPr>
                <w:highlight w:val="white"/>
                <w:rtl w:val="0"/>
              </w:rPr>
              <w:t xml:space="preserve">Sn-Sb lead free RoHs Tmelt = 230°C</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4">
            <w:pPr>
              <w:spacing w:after="0" w:line="240" w:lineRule="auto"/>
              <w:rPr>
                <w:highlight w:val="white"/>
              </w:rPr>
            </w:pPr>
            <w:r w:rsidDel="00000000" w:rsidR="00000000" w:rsidRPr="00000000">
              <w:rPr>
                <w:highlight w:val="white"/>
                <w:rtl w:val="0"/>
              </w:rPr>
              <w:t xml:space="preserve">TEC bonding</w:t>
            </w:r>
          </w:p>
        </w:tc>
        <w:tc>
          <w:tcPr/>
          <w:p w:rsidR="00000000" w:rsidDel="00000000" w:rsidP="00000000" w:rsidRDefault="00000000" w:rsidRPr="00000000" w14:paraId="00000035">
            <w:pPr>
              <w:spacing w:after="0" w:line="240" w:lineRule="auto"/>
              <w:rPr>
                <w:color w:val="000000"/>
                <w:highlight w:val="white"/>
              </w:rPr>
            </w:pPr>
            <w:r w:rsidDel="00000000" w:rsidR="00000000" w:rsidRPr="00000000">
              <w:rPr>
                <w:highlight w:val="white"/>
                <w:rtl w:val="0"/>
              </w:rPr>
              <w:t xml:space="preserve">Sn-Sb lead free RoHs Tmelt = 230°C</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7">
            <w:pPr>
              <w:spacing w:after="0" w:line="240" w:lineRule="auto"/>
              <w:rPr>
                <w:color w:val="000000"/>
                <w:highlight w:val="white"/>
              </w:rPr>
            </w:pPr>
            <w:r w:rsidDel="00000000" w:rsidR="00000000" w:rsidRPr="00000000">
              <w:rPr>
                <w:highlight w:val="white"/>
                <w:rtl w:val="0"/>
              </w:rPr>
              <w:t xml:space="preserve">Header</w:t>
            </w:r>
            <w:r w:rsidDel="00000000" w:rsidR="00000000" w:rsidRPr="00000000">
              <w:rPr>
                <w:rtl w:val="0"/>
              </w:rPr>
            </w:r>
          </w:p>
        </w:tc>
        <w:tc>
          <w:tcPr/>
          <w:p w:rsidR="00000000" w:rsidDel="00000000" w:rsidP="00000000" w:rsidRDefault="00000000" w:rsidRPr="00000000" w14:paraId="00000038">
            <w:pPr>
              <w:spacing w:after="0" w:line="240" w:lineRule="auto"/>
              <w:rPr>
                <w:color w:val="000000"/>
                <w:highlight w:val="white"/>
              </w:rPr>
            </w:pPr>
            <w:r w:rsidDel="00000000" w:rsidR="00000000" w:rsidRPr="00000000">
              <w:rPr>
                <w:highlight w:val="white"/>
                <w:rtl w:val="0"/>
              </w:rPr>
              <w:t xml:space="preserve">TO812.01</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A">
            <w:pPr>
              <w:spacing w:after="0" w:line="240" w:lineRule="auto"/>
              <w:rPr>
                <w:highlight w:val="white"/>
              </w:rPr>
            </w:pPr>
            <w:r w:rsidDel="00000000" w:rsidR="00000000" w:rsidRPr="00000000">
              <w:rPr>
                <w:highlight w:val="white"/>
                <w:rtl w:val="0"/>
              </w:rPr>
              <w:t xml:space="preserve">TEC mounting</w:t>
            </w:r>
          </w:p>
        </w:tc>
        <w:tc>
          <w:tcPr/>
          <w:p w:rsidR="00000000" w:rsidDel="00000000" w:rsidP="00000000" w:rsidRDefault="00000000" w:rsidRPr="00000000" w14:paraId="0000003B">
            <w:pPr>
              <w:spacing w:after="0" w:line="240" w:lineRule="auto"/>
              <w:rPr>
                <w:color w:val="000000"/>
                <w:highlight w:val="white"/>
              </w:rPr>
            </w:pPr>
            <w:r w:rsidDel="00000000" w:rsidR="00000000" w:rsidRPr="00000000">
              <w:rPr>
                <w:highlight w:val="white"/>
                <w:rtl w:val="0"/>
              </w:rPr>
              <w:t xml:space="preserve">lead free RoHs Tmelt = 206°C</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D">
            <w:pPr>
              <w:spacing w:after="0" w:line="240" w:lineRule="auto"/>
              <w:rPr>
                <w:color w:val="000000"/>
                <w:highlight w:val="white"/>
              </w:rPr>
            </w:pPr>
            <w:r w:rsidDel="00000000" w:rsidR="00000000" w:rsidRPr="00000000">
              <w:rPr>
                <w:highlight w:val="white"/>
                <w:rtl w:val="0"/>
              </w:rPr>
              <w:t xml:space="preserve">Height </w:t>
            </w:r>
            <w:r w:rsidDel="00000000" w:rsidR="00000000" w:rsidRPr="00000000">
              <w:rPr>
                <w:rtl w:val="0"/>
              </w:rPr>
            </w:r>
          </w:p>
        </w:tc>
        <w:tc>
          <w:tcPr/>
          <w:p w:rsidR="00000000" w:rsidDel="00000000" w:rsidP="00000000" w:rsidRDefault="00000000" w:rsidRPr="00000000" w14:paraId="0000003E">
            <w:pPr>
              <w:spacing w:after="0" w:line="240" w:lineRule="auto"/>
              <w:rPr>
                <w:color w:val="000000"/>
                <w:highlight w:val="yellow"/>
              </w:rPr>
            </w:pPr>
            <w:r w:rsidDel="00000000" w:rsidR="00000000" w:rsidRPr="00000000">
              <w:rPr>
                <w:highlight w:val="white"/>
                <w:rtl w:val="0"/>
              </w:rPr>
              <w:t xml:space="preserve">3.70±0.15</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yellow"/>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0">
            <w:pPr>
              <w:spacing w:after="0" w:line="240" w:lineRule="auto"/>
              <w:rPr>
                <w:highlight w:val="white"/>
              </w:rPr>
            </w:pPr>
            <w:r w:rsidDel="00000000" w:rsidR="00000000" w:rsidRPr="00000000">
              <w:rPr>
                <w:highlight w:val="white"/>
                <w:rtl w:val="0"/>
              </w:rPr>
              <w:t xml:space="preserve">ΔTmax K </w:t>
            </w:r>
          </w:p>
        </w:tc>
        <w:tc>
          <w:tcPr/>
          <w:p w:rsidR="00000000" w:rsidDel="00000000" w:rsidP="00000000" w:rsidRDefault="00000000" w:rsidRPr="00000000" w14:paraId="00000041">
            <w:pPr>
              <w:spacing w:after="0" w:line="240" w:lineRule="auto"/>
              <w:rPr>
                <w:color w:val="000000"/>
                <w:highlight w:val="yellow"/>
              </w:rPr>
            </w:pPr>
            <w:r w:rsidDel="00000000" w:rsidR="00000000" w:rsidRPr="00000000">
              <w:rPr>
                <w:highlight w:val="white"/>
                <w:rtl w:val="0"/>
              </w:rPr>
              <w:t xml:space="preserve">94±3</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yellow"/>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3">
            <w:pPr>
              <w:spacing w:after="0" w:line="240" w:lineRule="auto"/>
              <w:rPr>
                <w:color w:val="000000"/>
                <w:highlight w:val="white"/>
              </w:rPr>
            </w:pPr>
            <w:r w:rsidDel="00000000" w:rsidR="00000000" w:rsidRPr="00000000">
              <w:rPr>
                <w:highlight w:val="white"/>
                <w:rtl w:val="0"/>
              </w:rPr>
              <w:t xml:space="preserve">Qmax W</w:t>
            </w:r>
            <w:r w:rsidDel="00000000" w:rsidR="00000000" w:rsidRPr="00000000">
              <w:rPr>
                <w:rtl w:val="0"/>
              </w:rPr>
            </w:r>
          </w:p>
        </w:tc>
        <w:tc>
          <w:tcPr/>
          <w:p w:rsidR="00000000" w:rsidDel="00000000" w:rsidP="00000000" w:rsidRDefault="00000000" w:rsidRPr="00000000" w14:paraId="00000044">
            <w:pPr>
              <w:spacing w:after="0" w:line="240" w:lineRule="auto"/>
              <w:rPr>
                <w:highlight w:val="yellow"/>
              </w:rPr>
            </w:pPr>
            <w:r w:rsidDel="00000000" w:rsidR="00000000" w:rsidRPr="00000000">
              <w:rPr>
                <w:highlight w:val="white"/>
                <w:rtl w:val="0"/>
              </w:rPr>
              <w:t xml:space="preserve">0.4±0.04</w:t>
            </w:r>
            <w:r w:rsidDel="00000000" w:rsidR="00000000" w:rsidRPr="00000000">
              <w:rPr>
                <w:rtl w:val="0"/>
              </w:rPr>
            </w:r>
          </w:p>
        </w:tc>
      </w:tr>
      <w:tr>
        <w:trPr>
          <w:trHeight w:val="1009" w:hRule="atLeast"/>
        </w:trPr>
        <w:tc>
          <w:tcPr>
            <w:vMerge w:val="continue"/>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6">
            <w:pPr>
              <w:spacing w:after="0" w:line="240" w:lineRule="auto"/>
              <w:rPr>
                <w:highlight w:val="white"/>
              </w:rPr>
            </w:pPr>
            <w:r w:rsidDel="00000000" w:rsidR="00000000" w:rsidRPr="00000000">
              <w:rPr>
                <w:highlight w:val="white"/>
                <w:rtl w:val="0"/>
              </w:rPr>
              <w:t xml:space="preserve">Imax A</w:t>
            </w:r>
          </w:p>
          <w:p w:rsidR="00000000" w:rsidDel="00000000" w:rsidP="00000000" w:rsidRDefault="00000000" w:rsidRPr="00000000" w14:paraId="00000047">
            <w:pPr>
              <w:spacing w:after="0" w:line="240" w:lineRule="auto"/>
              <w:rPr>
                <w:highlight w:val="white"/>
              </w:rPr>
            </w:pPr>
            <w:r w:rsidDel="00000000" w:rsidR="00000000" w:rsidRPr="00000000">
              <w:rPr>
                <w:highlight w:val="white"/>
                <w:rtl w:val="0"/>
              </w:rPr>
              <w:t xml:space="preserve">Umax V</w:t>
            </w:r>
          </w:p>
          <w:p w:rsidR="00000000" w:rsidDel="00000000" w:rsidP="00000000" w:rsidRDefault="00000000" w:rsidRPr="00000000" w14:paraId="00000048">
            <w:pPr>
              <w:spacing w:after="0" w:line="240" w:lineRule="auto"/>
              <w:rPr>
                <w:highlight w:val="white"/>
              </w:rPr>
            </w:pPr>
            <w:r w:rsidDel="00000000" w:rsidR="00000000" w:rsidRPr="00000000">
              <w:rPr>
                <w:highlight w:val="white"/>
                <w:rtl w:val="0"/>
              </w:rPr>
              <w:t xml:space="preserve">ACR Ohm </w:t>
            </w:r>
          </w:p>
        </w:tc>
        <w:tc>
          <w:tcPr/>
          <w:p w:rsidR="00000000" w:rsidDel="00000000" w:rsidP="00000000" w:rsidRDefault="00000000" w:rsidRPr="00000000" w14:paraId="00000049">
            <w:pPr>
              <w:spacing w:after="0" w:lineRule="auto"/>
              <w:ind w:left="117" w:firstLine="0"/>
              <w:rPr>
                <w:highlight w:val="white"/>
              </w:rPr>
            </w:pPr>
            <w:r w:rsidDel="00000000" w:rsidR="00000000" w:rsidRPr="00000000">
              <w:rPr>
                <w:highlight w:val="white"/>
                <w:rtl w:val="0"/>
              </w:rPr>
              <w:t xml:space="preserve">1.30+/-0,12</w:t>
            </w:r>
          </w:p>
          <w:p w:rsidR="00000000" w:rsidDel="00000000" w:rsidP="00000000" w:rsidRDefault="00000000" w:rsidRPr="00000000" w14:paraId="0000004A">
            <w:pPr>
              <w:spacing w:after="0" w:lineRule="auto"/>
              <w:ind w:left="117" w:firstLine="0"/>
              <w:rPr>
                <w:highlight w:val="white"/>
              </w:rPr>
            </w:pPr>
            <w:r w:rsidDel="00000000" w:rsidR="00000000" w:rsidRPr="00000000">
              <w:rPr>
                <w:highlight w:val="white"/>
                <w:rtl w:val="0"/>
              </w:rPr>
              <w:t xml:space="preserve">0.90+/-0,1</w:t>
            </w:r>
          </w:p>
          <w:p w:rsidR="00000000" w:rsidDel="00000000" w:rsidP="00000000" w:rsidRDefault="00000000" w:rsidRPr="00000000" w14:paraId="0000004B">
            <w:pPr>
              <w:spacing w:after="0" w:lineRule="auto"/>
              <w:ind w:left="117" w:firstLine="0"/>
              <w:rPr>
                <w:highlight w:val="white"/>
              </w:rPr>
            </w:pPr>
            <w:r w:rsidDel="00000000" w:rsidR="00000000" w:rsidRPr="00000000">
              <w:rPr>
                <w:highlight w:val="white"/>
                <w:rtl w:val="0"/>
              </w:rPr>
              <w:t xml:space="preserve">0.66±0.7</w:t>
            </w:r>
          </w:p>
        </w:tc>
      </w:tr>
      <w:tr>
        <w:trPr>
          <w:trHeight w:val="1009" w:hRule="atLeast"/>
        </w:trPr>
        <w:tc>
          <w:tcPr>
            <w:vMerge w:val="continue"/>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D">
            <w:pPr>
              <w:spacing w:after="0" w:line="240" w:lineRule="auto"/>
              <w:rPr>
                <w:highlight w:val="white"/>
              </w:rPr>
            </w:pPr>
            <w:r w:rsidDel="00000000" w:rsidR="00000000" w:rsidRPr="00000000">
              <w:rPr>
                <w:highlight w:val="white"/>
                <w:rtl w:val="0"/>
              </w:rPr>
              <w:t xml:space="preserve">power connection</w:t>
            </w:r>
          </w:p>
        </w:tc>
        <w:tc>
          <w:tcPr/>
          <w:p w:rsidR="00000000" w:rsidDel="00000000" w:rsidP="00000000" w:rsidRDefault="00000000" w:rsidRPr="00000000" w14:paraId="0000004E">
            <w:pPr>
              <w:spacing w:after="0" w:lineRule="auto"/>
              <w:rPr>
                <w:highlight w:val="white"/>
              </w:rPr>
            </w:pPr>
            <w:r w:rsidDel="00000000" w:rsidR="00000000" w:rsidRPr="00000000">
              <w:rPr>
                <w:rtl w:val="0"/>
              </w:rPr>
              <w:t xml:space="preserve">2(+) i 8(-)</w:t>
            </w:r>
            <w:r w:rsidDel="00000000" w:rsidR="00000000" w:rsidRPr="00000000">
              <w:rPr>
                <w:rtl w:val="0"/>
              </w:rPr>
            </w:r>
          </w:p>
        </w:tc>
      </w:tr>
    </w:tbl>
    <w:p w:rsidR="00000000" w:rsidDel="00000000" w:rsidP="00000000" w:rsidRDefault="00000000" w:rsidRPr="00000000" w14:paraId="0000004F">
      <w:pPr>
        <w:spacing w:after="0" w:line="36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28.0" w:type="dxa"/>
        <w:left w:w="70.0" w:type="dxa"/>
        <w:bottom w:w="28.0" w:type="dxa"/>
        <w:right w:w="70.0" w:type="dxa"/>
      </w:tblCellMar>
    </w:tblPr>
  </w:style>
  <w:style w:type="table" w:styleId="a0" w:customStyle="1">
    <w:basedOn w:val="TableNormal0"/>
    <w:tblPr>
      <w:tblStyleRowBandSize w:val="1"/>
      <w:tblStyleColBandSize w:val="1"/>
      <w:tblCellMar>
        <w:top w:w="28.0" w:type="dxa"/>
        <w:left w:w="70.0" w:type="dxa"/>
        <w:bottom w:w="28.0" w:type="dxa"/>
        <w:right w:w="70.0" w:type="dxa"/>
      </w:tblCellMar>
    </w:tblPr>
  </w:style>
  <w:style w:type="table" w:styleId="a1" w:customStyle="1">
    <w:basedOn w:val="TableNormal0"/>
    <w:tblPr>
      <w:tblStyleRowBandSize w:val="1"/>
      <w:tblStyleColBandSize w:val="1"/>
      <w:tblCellMar>
        <w:top w:w="28.0" w:type="dxa"/>
        <w:left w:w="70.0" w:type="dxa"/>
        <w:bottom w:w="28.0" w:type="dxa"/>
        <w:right w:w="70.0" w:type="dxa"/>
      </w:tblCellMar>
    </w:tblPr>
  </w:style>
  <w:style w:type="table" w:styleId="a2" w:customStyle="1">
    <w:basedOn w:val="TableNormal0"/>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GYgS4QtIfDWtCm9FVx9Jd+bUqQ==">AMUW2mWodKc3Wn/I6qs3cG0pXFs/QBooutNquZr/6jFNnoCjHayYtpOV2JnnPkomiJVljOeu6N3HXdpnhb2pl8ZL42LnEr2C7X6j1QaG9by8e7A+qPQ7YK3qFKnNqiSSz1c7Lr8yUUNM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2020-12-31T09:52:00Z</dcterms:created>
  <dc:creator>Dominik Nowak</dc:creator>
</cp:coreProperties>
</file>