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order is a supply of asings for detectors and modules as per specifications :</w:t>
      </w:r>
    </w:p>
    <w:p w:rsidR="00000000" w:rsidDel="00000000" w:rsidP="00000000" w:rsidRDefault="00000000" w:rsidRPr="00000000" w14:paraId="00000004">
      <w:pPr>
        <w:numPr>
          <w:ilvl w:val="0"/>
          <w:numId w:val="1"/>
        </w:numPr>
        <w:spacing w:after="0" w:line="240" w:lineRule="auto"/>
        <w:ind w:left="720" w:hanging="360"/>
        <w:jc w:val="both"/>
        <w:rPr/>
      </w:pPr>
      <w:r w:rsidDel="00000000" w:rsidR="00000000" w:rsidRPr="00000000">
        <w:rPr>
          <w:rtl w:val="0"/>
        </w:rPr>
        <w:t xml:space="preserve">Casin TO8 Cap for hermetic sealing with sapphire window</w:t>
        <w:tab/>
        <w:tab/>
        <w:tab/>
        <w:t xml:space="preserve">100 pcs.</w:t>
      </w:r>
    </w:p>
    <w:p w:rsidR="00000000" w:rsidDel="00000000" w:rsidP="00000000" w:rsidRDefault="00000000" w:rsidRPr="00000000" w14:paraId="00000005">
      <w:pPr>
        <w:spacing w:after="0" w:line="240" w:lineRule="auto"/>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t xml:space="preserve">A detailed description of the subject of the order, including precise technical drawings and materials, will be provided to Contractors after signing non-disclosure agreement (NDA), as referred to in point 2.3 of the Request for Proposal.</w:t>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Time-limit for completion of the contract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left="360" w:firstLine="0"/>
        <w:jc w:val="both"/>
        <w:rPr>
          <w:color w:val="000000"/>
        </w:rPr>
      </w:pPr>
      <w:r w:rsidDel="00000000" w:rsidR="00000000" w:rsidRPr="00000000">
        <w:rPr>
          <w:rtl w:val="0"/>
        </w:rPr>
        <w:t xml:space="preserve">9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Additional conditions related to the subject of the order.</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in accordance with attached documentation.</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in given tolerances. If drawing contains not tolerated dimensions and there is no proper information on the drawing, elements shall be made in tolerance +/- 0.1mm.</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of materials indicated in drawing- tables.</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t>
      </w:r>
      <w:r w:rsidDel="00000000" w:rsidR="00000000" w:rsidRPr="00000000">
        <w:rPr>
          <w:rtl w:val="0"/>
        </w:rPr>
        <w:t xml:space="preserve">is a quantity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elements needed to perform one set, indicated in each drawing-table, i.e. quantity of elements to perform means a number of pieces of one set </w:t>
      </w:r>
      <w:r w:rsidDel="00000000" w:rsidR="00000000" w:rsidRPr="00000000">
        <w:rPr>
          <w:rtl w:val="0"/>
        </w:rPr>
        <w:t xml:space="preserve">multiplied by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number of sets. </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elements delivered to the headquarters of the Contracting Party must be washed, ungreased. Elements must not contain any shavings or jagged edges, dents and other defects of the surface.</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elements must be collated, packed in a way that secures elements from damaging in transport and storage. </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will be randomly checked with certified measuring instruments in order to confirm compatibility of the elements with attached documentation. In case of incompatibility of the element with its documentation, the Contracting Party reserves the right to </w:t>
      </w:r>
      <w:r w:rsidDel="00000000" w:rsidR="00000000" w:rsidRPr="00000000">
        <w:rPr>
          <w:rtl w:val="0"/>
        </w:rPr>
        <w:t xml:space="preserve">return the whole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order to the Contractor to check and correct the elements.</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failure to deliver </w:t>
      </w:r>
      <w:r w:rsidDel="00000000" w:rsidR="00000000" w:rsidRPr="00000000">
        <w:rPr>
          <w:rtl w:val="0"/>
        </w:rPr>
        <w:t xml:space="preserve">a required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quantity of elements or in case of delivery of elements made of the wrong materials, the Contracting Party will require the Contractor to perform the missing elements or to perform the elements of the right materials.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bookmarkStart w:colFirst="0" w:colLast="0" w:name="_heading=h.3znysh7"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Delivered goods must be factory new (I category – unused), meet the technologically-qualitative requirements determined by the manufacturer and be put on the market in accordance with the provisions of law in force on the territory of the Republic of Poland.</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paragraph" w:styleId="Tekstdymka">
    <w:name w:val="Balloon Text"/>
    <w:basedOn w:val="Normalny"/>
    <w:link w:val="TekstdymkaZnak"/>
    <w:uiPriority w:val="99"/>
    <w:semiHidden w:val="1"/>
    <w:unhideWhenUsed w:val="1"/>
    <w:rsid w:val="00AA7355"/>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AA7355"/>
    <w:rPr>
      <w:rFonts w:ascii="Segoe UI" w:cs="Segoe UI" w:hAnsi="Segoe UI"/>
      <w:sz w:val="18"/>
      <w:szCs w:val="18"/>
    </w:rPr>
  </w:style>
  <w:style w:type="table" w:styleId="a1" w:customStyle="1">
    <w:basedOn w:val="TableNormal0"/>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905BDF"/>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U15EIVasqMgSOITfKoWRv2mEBw==">AMUW2mXbX0HpSY5spkPyWveMwzgRYtGI333ooWnPG91AuzlWiI+oPHZSFSG0R/aX3EaPFLBmmLEyqWMC9VOCBYSx/L+0Aw6lPPdH11ZDF+JrP3GIe4XkKa5/2uJNVy+7UCrw/vHVg9sw3m7I2gCMHmmHbkFi48iJ1Q==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2021-01-20T16:25:00Z</dcterms:created>
  <dc:creator>Dominik Nowak</dc:creator>
</cp:coreProperties>
</file>