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[miejscowość………….], dn. ………..[•] roku……….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[Nazwa / adres /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osoba kontaktowa / adres e-mail / telefon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u w:val="single"/>
          <w:rtl w:val="0"/>
        </w:rPr>
        <w:t xml:space="preserve">Zamawiający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4 SIERPNIA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 202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 r. </w:t>
        <w:br w:type="textWrapping"/>
        <w:t xml:space="preserve">NUMER SDM-W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37 ZMIENIONO 6 SIERPNIA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Wykonawca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”), w odpowiedzi na zapytanie ofertowe z dnia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4 sierpnia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r. numer SDM-W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37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zmieniono 6 sierpnia 2021 r. (dalej jako: „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Zapytanie Ofertowe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”), niniejszym składam ofertę na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dostawę 30 szt. PCB Motherboard; 30 szt. Connector zmontowanych obwodów drukowanych w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(dalej jako: „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Zamówienie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Zamawiający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”) projektu pod nazwą „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Oferowana cena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Termin związania niniejszą ofertą wynosi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Osoba kontaktowa ze strony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4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Wykonawca oświadcza, że: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Wykonawca oświadcza, że: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oferowany produkt jest całkowicie zgodny ze specyfikacją określoną w opisie przedmiotu zamówienia w każdym w wymienionych tam parametrów,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 Wykonawcę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rtl w:val="0"/>
        </w:rPr>
        <w:t xml:space="preserve">Załączniki: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, nie starszy niż 3 miesiące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3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Tahoma"/>
  <w:font w:name="Noto Sans Symbol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SDM-WG/37</w:t>
      <w:tab/>
      <w:tab/>
    </w:r>
    <w:r w:rsidDel="00000000" w:rsidR="00000000" w:rsidRPr="00000000">
      <w:rPr>
        <w:rFonts w:ascii="Tahoma" w:cs="Tahoma" w:eastAsia="Tahoma" w:hAnsi="Tahoma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28" cy="764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-538628</wp:posOffset>
          </wp:positionH>
          <wp:positionV relativeFrom="paragraph">
            <wp:posOffset>-200018</wp:posOffset>
          </wp:positionV>
          <wp:extent cx="6472749" cy="764858"/>
          <wp:effectExtent b="0" l="0" r="0" t="0"/>
          <wp:wrapTopAndBottom distB="0" distT="0"/>
          <wp:docPr id="10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3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DaFfeB0DIFOfXbyJrO/hJ7Jrg==">AMUW2mWNn+zsDthCxfxFXbgTHa0dN5hunApGtEb3fwFhM7g2Z9n8eryrf8zblP26Wp04mIbwe5wxV123dZcV+vVmd2MfYHnlnQFZcwzaxsiscq2DU5IhI42+JWVfM2A90FZPZ8z1Jq1H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2021-01-20T10:39:00Z</dcterms:created>
  <dc:creator>Jakub Pietrasik</dc:creator>
</cp:coreProperties>
</file>