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00" w:line="360" w:lineRule="auto"/>
        <w:jc w:val="center"/>
        <w:rPr>
          <w:b w:val="1"/>
        </w:rPr>
      </w:pPr>
      <w:bookmarkStart w:colFirst="0" w:colLast="0" w:name="_heading=h.gjdgxs" w:id="0"/>
      <w:bookmarkEnd w:id="0"/>
      <w:r w:rsidDel="00000000" w:rsidR="00000000" w:rsidRPr="00000000">
        <w:rPr>
          <w:b w:val="1"/>
          <w:rtl w:val="0"/>
        </w:rPr>
        <w:t xml:space="preserve">ORDER DESCRIPTION</w:t>
      </w:r>
    </w:p>
    <w:p w:rsidR="00000000" w:rsidDel="00000000" w:rsidP="00000000" w:rsidRDefault="00000000" w:rsidRPr="00000000" w14:paraId="00000002">
      <w:pPr>
        <w:numPr>
          <w:ilvl w:val="0"/>
          <w:numId w:val="2"/>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Object of the contract</w:t>
      </w:r>
    </w:p>
    <w:p w:rsidR="00000000" w:rsidDel="00000000" w:rsidP="00000000" w:rsidRDefault="00000000" w:rsidRPr="00000000" w14:paraId="00000003">
      <w:pPr>
        <w:spacing w:after="0" w:line="240" w:lineRule="auto"/>
        <w:jc w:val="both"/>
        <w:rPr/>
      </w:pPr>
      <w:r w:rsidDel="00000000" w:rsidR="00000000" w:rsidRPr="00000000">
        <w:rPr>
          <w:rtl w:val="0"/>
        </w:rPr>
        <w:t xml:space="preserve">The subject of the order is a supply of a mechanical elements as per specifications :</w:t>
      </w:r>
    </w:p>
    <w:p w:rsidR="00000000" w:rsidDel="00000000" w:rsidP="00000000" w:rsidRDefault="00000000" w:rsidRPr="00000000" w14:paraId="00000004">
      <w:pPr>
        <w:numPr>
          <w:ilvl w:val="0"/>
          <w:numId w:val="1"/>
        </w:numPr>
        <w:spacing w:after="0" w:line="240" w:lineRule="auto"/>
        <w:ind w:left="720" w:hanging="360"/>
        <w:jc w:val="both"/>
        <w:rPr/>
      </w:pPr>
      <w:r w:rsidDel="00000000" w:rsidR="00000000" w:rsidRPr="00000000">
        <w:rPr>
          <w:rtl w:val="0"/>
        </w:rPr>
        <w:t xml:space="preserve">Motorized XY Scanning Stage</w:t>
        <w:tab/>
        <w:tab/>
        <w:tab/>
        <w:tab/>
        <w:tab/>
        <w:tab/>
        <w:t xml:space="preserve">1 pcs.</w:t>
      </w:r>
    </w:p>
    <w:p w:rsidR="00000000" w:rsidDel="00000000" w:rsidP="00000000" w:rsidRDefault="00000000" w:rsidRPr="00000000" w14:paraId="00000005">
      <w:pPr>
        <w:spacing w:after="0" w:line="240" w:lineRule="auto"/>
        <w:ind w:left="720" w:firstLine="0"/>
        <w:jc w:val="both"/>
        <w:rPr>
          <w:u w:val="none"/>
        </w:rPr>
      </w:pPr>
      <w:r w:rsidDel="00000000" w:rsidR="00000000" w:rsidRPr="00000000">
        <w:rPr>
          <w:rtl w:val="0"/>
        </w:rPr>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Time-limit for completion of the contract</w:t>
      </w:r>
    </w:p>
    <w:p w:rsidR="00000000" w:rsidDel="00000000" w:rsidP="00000000" w:rsidRDefault="00000000" w:rsidRPr="00000000" w14:paraId="00000007">
      <w:pPr>
        <w:spacing w:after="120" w:line="360" w:lineRule="auto"/>
        <w:ind w:hanging="2"/>
        <w:jc w:val="both"/>
        <w:rPr>
          <w:b w:val="1"/>
        </w:rPr>
      </w:pPr>
      <w:r w:rsidDel="00000000" w:rsidR="00000000" w:rsidRPr="00000000">
        <w:rPr>
          <w:b w:val="1"/>
          <w:rtl w:val="0"/>
        </w:rPr>
        <w:t xml:space="preserve">Completion deadline: as soon as possible, not later than 7 weeks from the date of placing the order.</w:t>
      </w:r>
    </w:p>
    <w:p w:rsidR="00000000" w:rsidDel="00000000" w:rsidP="00000000" w:rsidRDefault="00000000" w:rsidRPr="00000000" w14:paraId="00000008">
      <w:pPr>
        <w:spacing w:after="120" w:line="360" w:lineRule="auto"/>
        <w:ind w:hanging="2"/>
        <w:jc w:val="both"/>
        <w:rPr/>
      </w:pPr>
      <w:r w:rsidDel="00000000" w:rsidR="00000000" w:rsidRPr="00000000">
        <w:rPr>
          <w:rtl w:val="0"/>
        </w:rPr>
        <w:t xml:space="preserve">Deadline for completion of the order includes readiness to hand over the goods to the Ordering Party, which complies with application of the EXW Incoterms2020 principle.</w:t>
      </w:r>
    </w:p>
    <w:p w:rsidR="00000000" w:rsidDel="00000000" w:rsidP="00000000" w:rsidRDefault="00000000" w:rsidRPr="00000000" w14:paraId="00000009">
      <w:pPr>
        <w:spacing w:after="120" w:line="360" w:lineRule="auto"/>
        <w:ind w:hanging="2"/>
        <w:jc w:val="both"/>
        <w:rPr/>
      </w:pPr>
      <w:r w:rsidDel="00000000" w:rsidR="00000000" w:rsidRPr="00000000">
        <w:rPr>
          <w:rtl w:val="0"/>
        </w:rPr>
        <w:t xml:space="preserve">According to the EXW (ex works) principle, the moment of delivery of the goods is considered to be the moment of placing the goods at the disposal of the buyer, at place indicated by the supplier (factory, plant etc.).</w:t>
      </w:r>
    </w:p>
    <w:p w:rsidR="00000000" w:rsidDel="00000000" w:rsidP="00000000" w:rsidRDefault="00000000" w:rsidRPr="00000000" w14:paraId="0000000A">
      <w:pPr>
        <w:spacing w:after="120" w:line="360" w:lineRule="auto"/>
        <w:ind w:hanging="2"/>
        <w:jc w:val="both"/>
        <w:rPr>
          <w:sz w:val="20"/>
          <w:szCs w:val="20"/>
        </w:rPr>
      </w:pPr>
      <w:r w:rsidDel="00000000" w:rsidR="00000000" w:rsidRPr="00000000">
        <w:rPr>
          <w:rtl w:val="0"/>
        </w:rPr>
        <w:t xml:space="preserve">The Ordering Party shall accept application of other Incoterms2020 principle (such as FCA, DAP etc.), on condition that the Contractor will meet the deadline for completion, as referred to above.</w:t>
      </w:r>
      <w:r w:rsidDel="00000000" w:rsidR="00000000" w:rsidRPr="00000000">
        <w:rPr>
          <w:rtl w:val="0"/>
        </w:rPr>
      </w:r>
    </w:p>
    <w:p w:rsidR="00000000" w:rsidDel="00000000" w:rsidP="00000000" w:rsidRDefault="00000000" w:rsidRPr="00000000" w14:paraId="0000000B">
      <w:pPr>
        <w:numPr>
          <w:ilvl w:val="0"/>
          <w:numId w:val="2"/>
        </w:numPr>
        <w:spacing w:after="0" w:line="360" w:lineRule="auto"/>
        <w:ind w:left="360"/>
        <w:rPr>
          <w:b w:val="1"/>
          <w:u w:val="single"/>
        </w:rPr>
      </w:pPr>
      <w:r w:rsidDel="00000000" w:rsidR="00000000" w:rsidRPr="00000000">
        <w:rPr>
          <w:b w:val="1"/>
          <w:u w:val="single"/>
          <w:rtl w:val="0"/>
        </w:rPr>
        <w:t xml:space="preserve">Parameters </w:t>
      </w:r>
    </w:p>
    <w:p w:rsidR="00000000" w:rsidDel="00000000" w:rsidP="00000000" w:rsidRDefault="00000000" w:rsidRPr="00000000" w14:paraId="0000000C">
      <w:pPr>
        <w:spacing w:after="0" w:line="360" w:lineRule="auto"/>
        <w:ind w:left="360" w:firstLine="0"/>
        <w:rPr>
          <w:b w:val="1"/>
          <w:u w:val="single"/>
        </w:rPr>
      </w:pPr>
      <w:r w:rsidDel="00000000" w:rsidR="00000000" w:rsidRPr="00000000">
        <w:rPr>
          <w:b w:val="1"/>
          <w:u w:val="single"/>
          <w:rtl w:val="0"/>
        </w:rPr>
        <w:t xml:space="preserve">5.1 Detailed scope of the subject</w:t>
      </w:r>
    </w:p>
    <w:p w:rsidR="00000000" w:rsidDel="00000000" w:rsidP="00000000" w:rsidRDefault="00000000" w:rsidRPr="00000000" w14:paraId="0000000D">
      <w:pPr>
        <w:spacing w:after="0" w:line="360" w:lineRule="auto"/>
        <w:ind w:left="360" w:firstLine="0"/>
        <w:rPr>
          <w:b w:val="1"/>
          <w:u w:val="single"/>
        </w:rPr>
      </w:pPr>
      <w:r w:rsidDel="00000000" w:rsidR="00000000" w:rsidRPr="00000000">
        <w:rPr>
          <w:rtl w:val="0"/>
        </w:rPr>
      </w:r>
    </w:p>
    <w:tbl>
      <w:tblPr>
        <w:tblStyle w:val="Table1"/>
        <w:tblW w:w="9135.0" w:type="dxa"/>
        <w:jc w:val="left"/>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60"/>
        <w:gridCol w:w="2130"/>
        <w:gridCol w:w="4245"/>
        <w:tblGridChange w:id="0">
          <w:tblGrid>
            <w:gridCol w:w="2760"/>
            <w:gridCol w:w="2130"/>
            <w:gridCol w:w="4245"/>
          </w:tblGrid>
        </w:tblGridChange>
      </w:tblGrid>
      <w:tr>
        <w:trPr>
          <w:cantSplit w:val="0"/>
          <w:trHeight w:val="15" w:hRule="atLeast"/>
          <w:tblHeader w:val="0"/>
        </w:trPr>
        <w:tc>
          <w:tcPr>
            <w:shd w:fill="dddddd" w:val="clear"/>
            <w:vAlign w:val="center"/>
          </w:tcPr>
          <w:p w:rsidR="00000000" w:rsidDel="00000000" w:rsidP="00000000" w:rsidRDefault="00000000" w:rsidRPr="00000000" w14:paraId="0000000E">
            <w:pPr>
              <w:widowControl w:val="0"/>
              <w:spacing w:after="0" w:line="240" w:lineRule="auto"/>
              <w:jc w:val="center"/>
              <w:rPr>
                <w:b w:val="1"/>
                <w:sz w:val="18"/>
                <w:szCs w:val="18"/>
              </w:rPr>
            </w:pPr>
            <w:r w:rsidDel="00000000" w:rsidR="00000000" w:rsidRPr="00000000">
              <w:rPr>
                <w:b w:val="1"/>
                <w:sz w:val="18"/>
                <w:szCs w:val="18"/>
                <w:rtl w:val="0"/>
              </w:rPr>
              <w:t xml:space="preserve">Product name</w:t>
            </w:r>
          </w:p>
        </w:tc>
        <w:tc>
          <w:tcPr>
            <w:shd w:fill="dddddd" w:val="clear"/>
            <w:tcMar>
              <w:top w:w="55.0" w:type="dxa"/>
              <w:left w:w="55.0" w:type="dxa"/>
              <w:bottom w:w="55.0" w:type="dxa"/>
              <w:right w:w="55.0" w:type="dxa"/>
            </w:tcMar>
          </w:tcPr>
          <w:p w:rsidR="00000000" w:rsidDel="00000000" w:rsidP="00000000" w:rsidRDefault="00000000" w:rsidRPr="00000000" w14:paraId="0000000F">
            <w:pPr>
              <w:widowControl w:val="0"/>
              <w:spacing w:after="0" w:line="240" w:lineRule="auto"/>
              <w:jc w:val="center"/>
              <w:rPr>
                <w:b w:val="1"/>
                <w:sz w:val="18"/>
                <w:szCs w:val="18"/>
              </w:rPr>
            </w:pPr>
            <w:r w:rsidDel="00000000" w:rsidR="00000000" w:rsidRPr="00000000">
              <w:rPr>
                <w:b w:val="1"/>
                <w:sz w:val="18"/>
                <w:szCs w:val="18"/>
                <w:rtl w:val="0"/>
              </w:rPr>
              <w:t xml:space="preserve">Parameter</w:t>
            </w:r>
          </w:p>
        </w:tc>
        <w:tc>
          <w:tcPr>
            <w:shd w:fill="dddddd" w:val="clear"/>
          </w:tcPr>
          <w:p w:rsidR="00000000" w:rsidDel="00000000" w:rsidP="00000000" w:rsidRDefault="00000000" w:rsidRPr="00000000" w14:paraId="00000010">
            <w:pPr>
              <w:widowControl w:val="0"/>
              <w:spacing w:after="0" w:line="240" w:lineRule="auto"/>
              <w:jc w:val="center"/>
              <w:rPr>
                <w:b w:val="1"/>
                <w:sz w:val="18"/>
                <w:szCs w:val="18"/>
              </w:rPr>
            </w:pPr>
            <w:r w:rsidDel="00000000" w:rsidR="00000000" w:rsidRPr="00000000">
              <w:rPr>
                <w:b w:val="1"/>
                <w:sz w:val="18"/>
                <w:szCs w:val="18"/>
                <w:rtl w:val="0"/>
              </w:rPr>
              <w:t xml:space="preserve">Specification</w:t>
            </w:r>
          </w:p>
        </w:tc>
      </w:tr>
      <w:tr>
        <w:trPr>
          <w:cantSplit w:val="0"/>
          <w:trHeight w:val="216" w:hRule="atLeast"/>
          <w:tblHeader w:val="0"/>
        </w:trPr>
        <w:tc>
          <w:tcPr>
            <w:vMerge w:val="restart"/>
            <w:vAlign w:val="center"/>
          </w:tcPr>
          <w:p w:rsidR="00000000" w:rsidDel="00000000" w:rsidP="00000000" w:rsidRDefault="00000000" w:rsidRPr="00000000" w14:paraId="00000011">
            <w:pPr>
              <w:spacing w:after="0" w:line="240" w:lineRule="auto"/>
              <w:ind w:left="0" w:firstLine="0"/>
              <w:jc w:val="both"/>
              <w:rPr>
                <w:sz w:val="16"/>
                <w:szCs w:val="16"/>
              </w:rPr>
            </w:pPr>
            <w:r w:rsidDel="00000000" w:rsidR="00000000" w:rsidRPr="00000000">
              <w:rPr>
                <w:rtl w:val="0"/>
              </w:rPr>
              <w:t xml:space="preserve">Motorized XY Scanning Stage</w:t>
              <w:tab/>
            </w: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12">
            <w:pPr>
              <w:widowControl w:val="0"/>
              <w:spacing w:after="0" w:line="240" w:lineRule="auto"/>
              <w:rPr/>
            </w:pPr>
            <w:r w:rsidDel="00000000" w:rsidR="00000000" w:rsidRPr="00000000">
              <w:rPr>
                <w:rtl w:val="0"/>
              </w:rPr>
              <w:t xml:space="preserve">Travel range</w:t>
            </w:r>
          </w:p>
        </w:tc>
        <w:tc>
          <w:tcPr/>
          <w:p w:rsidR="00000000" w:rsidDel="00000000" w:rsidP="00000000" w:rsidRDefault="00000000" w:rsidRPr="00000000" w14:paraId="00000013">
            <w:pPr>
              <w:widowControl w:val="0"/>
              <w:spacing w:after="0" w:line="240" w:lineRule="auto"/>
              <w:rPr/>
            </w:pPr>
            <w:r w:rsidDel="00000000" w:rsidR="00000000" w:rsidRPr="00000000">
              <w:rPr>
                <w:rtl w:val="0"/>
              </w:rPr>
              <w:t xml:space="preserve">102x102 mm (4")</w:t>
            </w:r>
          </w:p>
        </w:tc>
      </w:tr>
      <w:tr>
        <w:trPr>
          <w:cantSplit w:val="0"/>
          <w:trHeight w:val="216" w:hRule="atLeast"/>
          <w:tblHeader w:val="0"/>
        </w:trPr>
        <w:tc>
          <w:tcPr>
            <w:vMerge w:val="continue"/>
            <w:vAlign w:val="center"/>
          </w:tcPr>
          <w:p w:rsidR="00000000" w:rsidDel="00000000" w:rsidP="00000000" w:rsidRDefault="00000000" w:rsidRPr="00000000" w14:paraId="00000014">
            <w:pPr>
              <w:widowControl w:val="0"/>
              <w:spacing w:after="0" w:before="0" w:line="240" w:lineRule="auto"/>
              <w:ind w:left="0" w:firstLine="0"/>
              <w:rPr>
                <w:sz w:val="16"/>
                <w:szCs w:val="16"/>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15">
            <w:pPr>
              <w:widowControl w:val="0"/>
              <w:spacing w:after="0" w:line="240" w:lineRule="auto"/>
              <w:rPr/>
            </w:pPr>
            <w:r w:rsidDel="00000000" w:rsidR="00000000" w:rsidRPr="00000000">
              <w:rPr>
                <w:rtl w:val="0"/>
              </w:rPr>
              <w:t xml:space="preserve">Lead screw pitch</w:t>
            </w:r>
          </w:p>
        </w:tc>
        <w:tc>
          <w:tcPr/>
          <w:p w:rsidR="00000000" w:rsidDel="00000000" w:rsidP="00000000" w:rsidRDefault="00000000" w:rsidRPr="00000000" w14:paraId="00000016">
            <w:pPr>
              <w:widowControl w:val="0"/>
              <w:spacing w:after="0" w:line="240" w:lineRule="auto"/>
              <w:rPr/>
            </w:pPr>
            <w:r w:rsidDel="00000000" w:rsidR="00000000" w:rsidRPr="00000000">
              <w:rPr>
                <w:rtl w:val="0"/>
              </w:rPr>
              <w:t xml:space="preserve">0.5 mm</w:t>
            </w:r>
          </w:p>
        </w:tc>
      </w:tr>
      <w:tr>
        <w:trPr>
          <w:cantSplit w:val="0"/>
          <w:trHeight w:val="216" w:hRule="atLeast"/>
          <w:tblHeader w:val="0"/>
        </w:trPr>
        <w:tc>
          <w:tcPr>
            <w:vMerge w:val="continue"/>
            <w:vAlign w:val="center"/>
          </w:tcPr>
          <w:p w:rsidR="00000000" w:rsidDel="00000000" w:rsidP="00000000" w:rsidRDefault="00000000" w:rsidRPr="00000000" w14:paraId="00000017">
            <w:pPr>
              <w:widowControl w:val="0"/>
              <w:spacing w:after="0" w:before="0" w:line="240" w:lineRule="auto"/>
              <w:ind w:left="0" w:firstLine="0"/>
              <w:rPr>
                <w:sz w:val="16"/>
                <w:szCs w:val="16"/>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18">
            <w:pPr>
              <w:widowControl w:val="0"/>
              <w:spacing w:after="0" w:line="240" w:lineRule="auto"/>
              <w:rPr/>
            </w:pPr>
            <w:r w:rsidDel="00000000" w:rsidR="00000000" w:rsidRPr="00000000">
              <w:rPr>
                <w:rtl w:val="0"/>
              </w:rPr>
              <w:t xml:space="preserve">Resolution</w:t>
            </w:r>
          </w:p>
        </w:tc>
        <w:tc>
          <w:tcPr/>
          <w:p w:rsidR="00000000" w:rsidDel="00000000" w:rsidP="00000000" w:rsidRDefault="00000000" w:rsidRPr="00000000" w14:paraId="00000019">
            <w:pPr>
              <w:widowControl w:val="0"/>
              <w:spacing w:after="0" w:line="240" w:lineRule="auto"/>
              <w:rPr/>
            </w:pPr>
            <w:r w:rsidDel="00000000" w:rsidR="00000000" w:rsidRPr="00000000">
              <w:rPr>
                <w:rtl w:val="0"/>
              </w:rPr>
              <w:t xml:space="preserve">Full Step: 2.5 µm</w:t>
            </w:r>
          </w:p>
          <w:p w:rsidR="00000000" w:rsidDel="00000000" w:rsidP="00000000" w:rsidRDefault="00000000" w:rsidRPr="00000000" w14:paraId="0000001A">
            <w:pPr>
              <w:widowControl w:val="0"/>
              <w:spacing w:after="0" w:line="240" w:lineRule="auto"/>
              <w:rPr/>
            </w:pPr>
            <w:r w:rsidDel="00000000" w:rsidR="00000000" w:rsidRPr="00000000">
              <w:rPr>
                <w:rtl w:val="0"/>
              </w:rPr>
              <w:t xml:space="preserve">1/8 step: 0.31 µm</w:t>
            </w:r>
          </w:p>
        </w:tc>
      </w:tr>
      <w:tr>
        <w:trPr>
          <w:cantSplit w:val="0"/>
          <w:trHeight w:val="216" w:hRule="atLeast"/>
          <w:tblHeader w:val="0"/>
        </w:trPr>
        <w:tc>
          <w:tcPr>
            <w:vMerge w:val="continue"/>
            <w:vAlign w:val="center"/>
          </w:tcPr>
          <w:p w:rsidR="00000000" w:rsidDel="00000000" w:rsidP="00000000" w:rsidRDefault="00000000" w:rsidRPr="00000000" w14:paraId="0000001B">
            <w:pPr>
              <w:widowControl w:val="0"/>
              <w:spacing w:after="0" w:before="0" w:line="240" w:lineRule="auto"/>
              <w:ind w:left="0" w:firstLine="0"/>
              <w:rPr>
                <w:sz w:val="16"/>
                <w:szCs w:val="16"/>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1C">
            <w:pPr>
              <w:widowControl w:val="0"/>
              <w:spacing w:after="0" w:line="240" w:lineRule="auto"/>
              <w:rPr/>
            </w:pPr>
            <w:r w:rsidDel="00000000" w:rsidR="00000000" w:rsidRPr="00000000">
              <w:rPr>
                <w:rtl w:val="0"/>
              </w:rPr>
              <w:t xml:space="preserve">Max speed</w:t>
            </w:r>
          </w:p>
        </w:tc>
        <w:tc>
          <w:tcPr/>
          <w:p w:rsidR="00000000" w:rsidDel="00000000" w:rsidP="00000000" w:rsidRDefault="00000000" w:rsidRPr="00000000" w14:paraId="0000001D">
            <w:pPr>
              <w:widowControl w:val="0"/>
              <w:spacing w:after="0" w:line="240" w:lineRule="auto"/>
              <w:rPr/>
            </w:pPr>
            <w:r w:rsidDel="00000000" w:rsidR="00000000" w:rsidRPr="00000000">
              <w:rPr>
                <w:rtl w:val="0"/>
              </w:rPr>
              <w:t xml:space="preserve">10mm/sec</w:t>
            </w:r>
          </w:p>
        </w:tc>
      </w:tr>
      <w:tr>
        <w:trPr>
          <w:cantSplit w:val="0"/>
          <w:trHeight w:val="216" w:hRule="atLeast"/>
          <w:tblHeader w:val="0"/>
        </w:trPr>
        <w:tc>
          <w:tcPr>
            <w:vMerge w:val="continue"/>
            <w:vAlign w:val="center"/>
          </w:tcPr>
          <w:p w:rsidR="00000000" w:rsidDel="00000000" w:rsidP="00000000" w:rsidRDefault="00000000" w:rsidRPr="00000000" w14:paraId="0000001E">
            <w:pPr>
              <w:widowControl w:val="0"/>
              <w:spacing w:after="0" w:before="0" w:line="240" w:lineRule="auto"/>
              <w:ind w:left="0" w:firstLine="0"/>
              <w:rPr>
                <w:sz w:val="16"/>
                <w:szCs w:val="16"/>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1F">
            <w:pPr>
              <w:widowControl w:val="0"/>
              <w:spacing w:after="0" w:line="240" w:lineRule="auto"/>
              <w:rPr/>
            </w:pPr>
            <w:r w:rsidDel="00000000" w:rsidR="00000000" w:rsidRPr="00000000">
              <w:rPr>
                <w:rtl w:val="0"/>
              </w:rPr>
              <w:t xml:space="preserve">Load capacity</w:t>
            </w:r>
          </w:p>
        </w:tc>
        <w:tc>
          <w:tcPr/>
          <w:p w:rsidR="00000000" w:rsidDel="00000000" w:rsidP="00000000" w:rsidRDefault="00000000" w:rsidRPr="00000000" w14:paraId="00000020">
            <w:pPr>
              <w:widowControl w:val="0"/>
              <w:spacing w:after="0" w:line="240" w:lineRule="auto"/>
              <w:rPr/>
            </w:pPr>
            <w:r w:rsidDel="00000000" w:rsidR="00000000" w:rsidRPr="00000000">
              <w:rPr>
                <w:rtl w:val="0"/>
              </w:rPr>
              <w:t xml:space="preserve">Horizontal: 50 kg</w:t>
            </w:r>
          </w:p>
          <w:p w:rsidR="00000000" w:rsidDel="00000000" w:rsidP="00000000" w:rsidRDefault="00000000" w:rsidRPr="00000000" w14:paraId="00000021">
            <w:pPr>
              <w:widowControl w:val="0"/>
              <w:spacing w:after="0" w:line="240" w:lineRule="auto"/>
              <w:rPr/>
            </w:pPr>
            <w:r w:rsidDel="00000000" w:rsidR="00000000" w:rsidRPr="00000000">
              <w:rPr>
                <w:rtl w:val="0"/>
              </w:rPr>
              <w:t xml:space="preserve">Vertical: 6 kg</w:t>
            </w:r>
          </w:p>
        </w:tc>
      </w:tr>
    </w:tbl>
    <w:p w:rsidR="00000000" w:rsidDel="00000000" w:rsidP="00000000" w:rsidRDefault="00000000" w:rsidRPr="00000000" w14:paraId="00000022">
      <w:pPr>
        <w:spacing w:after="0" w:line="360" w:lineRule="auto"/>
        <w:rPr>
          <w:b w:val="1"/>
          <w:u w:val="singl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Additional conditions related to the subject of the order.</w:t>
      </w:r>
    </w:p>
    <w:p w:rsidR="00000000" w:rsidDel="00000000" w:rsidP="00000000" w:rsidRDefault="00000000" w:rsidRPr="00000000" w14:paraId="0000002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Elements must be made in accordance with attached documentation.</w:t>
      </w:r>
      <w:r w:rsidDel="00000000" w:rsidR="00000000" w:rsidRPr="00000000">
        <w:rPr>
          <w:rtl w:val="0"/>
        </w:rPr>
      </w:r>
    </w:p>
    <w:p w:rsidR="00000000" w:rsidDel="00000000" w:rsidP="00000000" w:rsidRDefault="00000000" w:rsidRPr="00000000" w14:paraId="0000002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Elements must be made in given tolerances. If drawing contains not tolerated dimensions and there is no proper information on the drawing, elements shall be made in tolerance +/- 0.1mm.</w:t>
      </w:r>
      <w:r w:rsidDel="00000000" w:rsidR="00000000" w:rsidRPr="00000000">
        <w:rPr>
          <w:rtl w:val="0"/>
        </w:rPr>
      </w:r>
    </w:p>
    <w:p w:rsidR="00000000" w:rsidDel="00000000" w:rsidP="00000000" w:rsidRDefault="00000000" w:rsidRPr="00000000" w14:paraId="0000002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Elements must be made of materials indicated in drawing- tables.</w:t>
      </w:r>
      <w:r w:rsidDel="00000000" w:rsidR="00000000" w:rsidRPr="00000000">
        <w:rPr>
          <w:rtl w:val="0"/>
        </w:rPr>
      </w:r>
    </w:p>
    <w:p w:rsidR="00000000" w:rsidDel="00000000" w:rsidP="00000000" w:rsidRDefault="00000000" w:rsidRPr="00000000" w14:paraId="0000002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w:t>
      </w:r>
      <w:r w:rsidDel="00000000" w:rsidR="00000000" w:rsidRPr="00000000">
        <w:rPr>
          <w:rtl w:val="0"/>
        </w:rPr>
        <w:t xml:space="preserve">is a quantity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elements needed to perform one set, indicated in each drawing-table, i.e. quantity of elements to perform means a number of pieces of one set </w:t>
      </w:r>
      <w:r w:rsidDel="00000000" w:rsidR="00000000" w:rsidRPr="00000000">
        <w:rPr>
          <w:rtl w:val="0"/>
        </w:rPr>
        <w:t xml:space="preserve">multiplied by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number of sets. </w:t>
      </w:r>
      <w:r w:rsidDel="00000000" w:rsidR="00000000" w:rsidRPr="00000000">
        <w:rPr>
          <w:rtl w:val="0"/>
        </w:rPr>
      </w:r>
    </w:p>
    <w:p w:rsidR="00000000" w:rsidDel="00000000" w:rsidP="00000000" w:rsidRDefault="00000000" w:rsidRPr="00000000" w14:paraId="0000002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of the elements delivered to the headquarters of the Contracting Party must be washed, ungreased. Elements must not contain any shavings or jagged edges, dents and other defects of the surface.</w:t>
      </w:r>
      <w:r w:rsidDel="00000000" w:rsidR="00000000" w:rsidRPr="00000000">
        <w:rPr>
          <w:rtl w:val="0"/>
        </w:rPr>
      </w:r>
    </w:p>
    <w:p w:rsidR="00000000" w:rsidDel="00000000" w:rsidP="00000000" w:rsidRDefault="00000000" w:rsidRPr="00000000" w14:paraId="0000002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of the elements must be collated, packed in a way that secures elements from damaging in transport and storage. </w:t>
      </w:r>
      <w:r w:rsidDel="00000000" w:rsidR="00000000" w:rsidRPr="00000000">
        <w:rPr>
          <w:rtl w:val="0"/>
        </w:rPr>
      </w:r>
    </w:p>
    <w:p w:rsidR="00000000" w:rsidDel="00000000" w:rsidP="00000000" w:rsidRDefault="00000000" w:rsidRPr="00000000" w14:paraId="0000002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Elements will be randomly checked with certified measuring instruments in order to confirm compatibility of the elements with attached documentation. In case of incompatibility of the element with its documentation, the Contracting Party reserves the right to </w:t>
      </w:r>
      <w:r w:rsidDel="00000000" w:rsidR="00000000" w:rsidRPr="00000000">
        <w:rPr>
          <w:rtl w:val="0"/>
        </w:rPr>
        <w:t xml:space="preserve">return the whole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order to the Contractor to check and correct the elements.</w:t>
      </w:r>
      <w:r w:rsidDel="00000000" w:rsidR="00000000" w:rsidRPr="00000000">
        <w:rPr>
          <w:rtl w:val="0"/>
        </w:rPr>
      </w:r>
    </w:p>
    <w:p w:rsidR="00000000" w:rsidDel="00000000" w:rsidP="00000000" w:rsidRDefault="00000000" w:rsidRPr="00000000" w14:paraId="0000002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of failure to deliver </w:t>
      </w:r>
      <w:r w:rsidDel="00000000" w:rsidR="00000000" w:rsidRPr="00000000">
        <w:rPr>
          <w:rtl w:val="0"/>
        </w:rPr>
        <w:t xml:space="preserve">a required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quantity of elements or in case of delivery of elements made of the wrong materials, the Contracting Party will require the Contractor to perform the missing elements or to perform the elements of the right materials.</w:t>
      </w:r>
      <w:r w:rsidDel="00000000" w:rsidR="00000000" w:rsidRPr="00000000">
        <w:rPr>
          <w:rtl w:val="0"/>
        </w:rPr>
      </w:r>
    </w:p>
    <w:p w:rsidR="00000000" w:rsidDel="00000000" w:rsidP="00000000" w:rsidRDefault="00000000" w:rsidRPr="00000000" w14:paraId="0000002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bookmarkStart w:colFirst="0" w:colLast="0" w:name="_heading=h.3znysh7"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Delivered goods must be factory new (I category – unused), meet the technologically-qualitative requirements determined by the manufacturer and be put on the market in accordance with the provisions of law in force on the territory of the Republic of Poland.</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after="160" w:line="259" w:lineRule="auto"/>
      <w:jc w:val="center"/>
      <w:rPr>
        <w:color w:val="000000"/>
      </w:rPr>
    </w:pPr>
    <w:r w:rsidDel="00000000" w:rsidR="00000000" w:rsidRPr="00000000">
      <w:rPr>
        <w:b w:val="1"/>
        <w:sz w:val="28"/>
        <w:szCs w:val="28"/>
      </w:rPr>
      <w:drawing>
        <wp:inline distB="0" distT="0" distL="0" distR="0">
          <wp:extent cx="5760720" cy="677545"/>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0720" cy="677545"/>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360" w:hanging="360"/>
      </w:pPr>
      <w:rPr>
        <w:rFonts w:ascii="Calibri" w:cs="Calibri" w:eastAsia="Calibri" w:hAnsi="Calibri"/>
        <w:sz w:val="22"/>
        <w:szCs w:val="22"/>
      </w:rPr>
    </w:lvl>
    <w:lvl w:ilvl="1">
      <w:start w:val="1"/>
      <w:numFmt w:val="lowerLetter"/>
      <w:lvlText w:val="%2."/>
      <w:lvlJc w:val="left"/>
      <w:pPr>
        <w:ind w:left="1080" w:hanging="360"/>
      </w:pPr>
      <w:rPr>
        <w:b w:val="0"/>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top w:w="28.0" w:type="dxa"/>
        <w:left w:w="70.0" w:type="dxa"/>
        <w:bottom w:w="28.0" w:type="dxa"/>
        <w:right w:w="70.0" w:type="dxa"/>
      </w:tblCellMar>
    </w:tblPr>
  </w:style>
  <w:style w:type="table" w:styleId="a0" w:customStyle="1">
    <w:basedOn w:val="TableNormal0"/>
    <w:tblPr>
      <w:tblStyleRowBandSize w:val="1"/>
      <w:tblStyleColBandSize w:val="1"/>
      <w:tblCellMar>
        <w:top w:w="28.0" w:type="dxa"/>
        <w:left w:w="70.0" w:type="dxa"/>
        <w:bottom w:w="28.0" w:type="dxa"/>
        <w:right w:w="70.0" w:type="dxa"/>
      </w:tblCellMar>
    </w:tblPr>
  </w:style>
  <w:style w:type="paragraph" w:styleId="Tekstdymka">
    <w:name w:val="Balloon Text"/>
    <w:basedOn w:val="Normalny"/>
    <w:link w:val="TekstdymkaZnak"/>
    <w:uiPriority w:val="99"/>
    <w:semiHidden w:val="1"/>
    <w:unhideWhenUsed w:val="1"/>
    <w:rsid w:val="00AA7355"/>
    <w:pPr>
      <w:spacing w:after="0" w:line="240" w:lineRule="auto"/>
    </w:pPr>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AA7355"/>
    <w:rPr>
      <w:rFonts w:ascii="Segoe UI" w:cs="Segoe UI" w:hAnsi="Segoe UI"/>
      <w:sz w:val="18"/>
      <w:szCs w:val="18"/>
    </w:rPr>
  </w:style>
  <w:style w:type="table" w:styleId="a1" w:customStyle="1">
    <w:basedOn w:val="TableNormal0"/>
    <w:tblPr>
      <w:tblStyleRowBandSize w:val="1"/>
      <w:tblStyleColBandSize w:val="1"/>
      <w:tblCellMar>
        <w:top w:w="28.0" w:type="dxa"/>
        <w:left w:w="70.0" w:type="dxa"/>
        <w:bottom w:w="28.0" w:type="dxa"/>
        <w:right w:w="70.0" w:type="dxa"/>
      </w:tblCellMar>
    </w:tblPr>
  </w:style>
  <w:style w:type="paragraph" w:styleId="Akapitzlist">
    <w:name w:val="List Paragraph"/>
    <w:basedOn w:val="Normalny"/>
    <w:uiPriority w:val="34"/>
    <w:qFormat w:val="1"/>
    <w:rsid w:val="00905BDF"/>
    <w:pPr>
      <w:ind w:left="720"/>
      <w:contextualSpacing w:val="1"/>
    </w:p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70.0" w:type="dxa"/>
        <w:bottom w:w="28.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28.0" w:type="dxa"/>
        <w:left w:w="70.0" w:type="dxa"/>
        <w:bottom w:w="28.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nzvQyRA0cDnFcXNAiV0OFnQtA==">AMUW2mWkuFqZS9ekfiVmAHKNC0W78/yFxn1n/7rK08sTwxW3DEgRzD7I14VmL7noKsqrq7VKVXrRK75l1k31Yv0Pj99vJBRbRcUsHjAT5IpV0tvNQ77v7hmrhba9waETljq934D4XnNj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2021-01-20T16:25:00Z</dcterms:created>
  <dc:creator>Dominik Nowak</dc:creator>
</cp:coreProperties>
</file>