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00" w:line="360" w:lineRule="auto"/>
        <w:ind w:left="1080" w:right="0" w:firstLine="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thermoelectric cooler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header TO39 – 8 pin </w:t>
      </w:r>
      <w:r w:rsidDel="00000000" w:rsidR="00000000" w:rsidRPr="00000000">
        <w:rPr>
          <w:rFonts w:ascii="Calibri" w:cs="Calibri" w:eastAsia="Calibri" w:hAnsi="Calibri"/>
          <w:rtl w:val="0"/>
        </w:rPr>
        <w:t xml:space="preserve">– 50 </w:t>
      </w:r>
      <w:r w:rsidDel="00000000" w:rsidR="00000000" w:rsidRPr="00000000">
        <w:rPr>
          <w:rtl w:val="0"/>
        </w:rPr>
        <w:t xml:space="preserve">pcs </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rPr>
          <w:cantSplit w:val="0"/>
          <w:tblHeader w:val="0"/>
        </w:trP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Method of awarding points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the net price of goods - for the given offer</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Pmin - the minimum delivery net price for the ordered goods from all offers submitted</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30j0zll" w:id="0"/>
      <w:bookmarkEnd w:id="0"/>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A">
      <w:pPr>
        <w:spacing w:after="240" w:before="240" w:line="360" w:lineRule="auto"/>
        <w:jc w:val="both"/>
        <w:rPr>
          <w:b w:val="1"/>
        </w:rPr>
      </w:pPr>
      <w:bookmarkStart w:colFirst="0" w:colLast="0" w:name="_heading=h.1fob9te" w:id="1"/>
      <w:bookmarkEnd w:id="1"/>
      <w:r w:rsidDel="00000000" w:rsidR="00000000" w:rsidRPr="00000000">
        <w:rPr>
          <w:b w:val="1"/>
          <w:rtl w:val="0"/>
        </w:rPr>
        <w:t xml:space="preserve">As soon as possible, no later than 10 weeks from the date of placing the order.</w:t>
      </w:r>
    </w:p>
    <w:p w:rsidR="00000000" w:rsidDel="00000000" w:rsidP="00000000" w:rsidRDefault="00000000" w:rsidRPr="00000000" w14:paraId="0000001B">
      <w:pPr>
        <w:spacing w:after="240" w:before="240" w:line="360" w:lineRule="auto"/>
        <w:jc w:val="both"/>
        <w:rPr>
          <w:b w:val="1"/>
        </w:rPr>
      </w:pPr>
      <w:bookmarkStart w:colFirst="0" w:colLast="0" w:name="_heading=h.1fob9te" w:id="1"/>
      <w:bookmarkEnd w:id="1"/>
      <w:r w:rsidDel="00000000" w:rsidR="00000000" w:rsidRPr="00000000">
        <w:rPr>
          <w:b w:val="1"/>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C">
      <w:pPr>
        <w:spacing w:after="240" w:before="240" w:line="360" w:lineRule="auto"/>
        <w:jc w:val="both"/>
        <w:rPr>
          <w:b w:val="1"/>
        </w:rPr>
      </w:pPr>
      <w:bookmarkStart w:colFirst="0" w:colLast="0" w:name="_heading=h.1fob9te" w:id="1"/>
      <w:bookmarkEnd w:id="1"/>
      <w:r w:rsidDel="00000000" w:rsidR="00000000" w:rsidRPr="00000000">
        <w:rPr>
          <w:b w:val="1"/>
          <w:rtl w:val="0"/>
        </w:rPr>
        <w:t xml:space="preserve">According to the EXW (ex works) principle, the moment of delivery of the goods is considered to be the moment of placing of the goods at the disposal of the buyer at place indicated by the supplier (factory, plant etc.).</w:t>
      </w:r>
    </w:p>
    <w:p w:rsidR="00000000" w:rsidDel="00000000" w:rsidP="00000000" w:rsidRDefault="00000000" w:rsidRPr="00000000" w14:paraId="0000001D">
      <w:pPr>
        <w:spacing w:after="240" w:before="240" w:line="360" w:lineRule="auto"/>
        <w:jc w:val="both"/>
        <w:rPr>
          <w:b w:val="1"/>
        </w:rPr>
      </w:pPr>
      <w:bookmarkStart w:colFirst="0" w:colLast="0" w:name="_heading=h.1fob9te" w:id="1"/>
      <w:bookmarkEnd w:id="1"/>
      <w:r w:rsidDel="00000000" w:rsidR="00000000" w:rsidRPr="00000000">
        <w:rPr>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10189.0" w:type="dxa"/>
        <w:jc w:val="left"/>
        <w:tblInd w:w="-6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3118"/>
        <w:gridCol w:w="5556"/>
        <w:tblGridChange w:id="0">
          <w:tblGrid>
            <w:gridCol w:w="1515"/>
            <w:gridCol w:w="3118"/>
            <w:gridCol w:w="5556"/>
          </w:tblGrid>
        </w:tblGridChange>
      </w:tblGrid>
      <w:tr>
        <w:trPr>
          <w:cantSplit w:val="0"/>
          <w:trHeight w:val="240" w:hRule="atLeast"/>
          <w:tblHeader w:val="0"/>
        </w:trPr>
        <w:tc>
          <w:tcPr>
            <w:shd w:fill="dddddd" w:val="cle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Parametrer</w:t>
            </w:r>
          </w:p>
        </w:tc>
        <w:tc>
          <w:tcPr>
            <w:shd w:fill="dddddd" w:val="cle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cantSplit w:val="0"/>
          <w:trHeight w:val="20" w:hRule="atLeast"/>
          <w:tblHeader w:val="0"/>
        </w:trPr>
        <w:tc>
          <w:tcPr>
            <w:vMerge w:val="restart"/>
            <w:vAlign w:val="center"/>
          </w:tcPr>
          <w:p w:rsidR="00000000" w:rsidDel="00000000" w:rsidP="00000000" w:rsidRDefault="00000000" w:rsidRPr="00000000" w14:paraId="00000023">
            <w:pPr>
              <w:widowControl w:val="0"/>
              <w:spacing w:after="0" w:line="240" w:lineRule="auto"/>
              <w:ind w:hanging="2"/>
              <w:rPr/>
            </w:pPr>
            <w:r w:rsidDel="00000000" w:rsidR="00000000" w:rsidRPr="00000000">
              <w:rPr>
                <w:rtl w:val="0"/>
              </w:rPr>
              <w:t xml:space="preserve">Header TO39-8pin</w:t>
            </w:r>
          </w:p>
        </w:tc>
        <w:tc>
          <w:tcPr>
            <w:tcMar>
              <w:top w:w="55.0" w:type="dxa"/>
              <w:left w:w="55.0" w:type="dxa"/>
              <w:bottom w:w="55.0" w:type="dxa"/>
              <w:right w:w="55.0" w:type="dxa"/>
            </w:tcMar>
          </w:tcPr>
          <w:p w:rsidR="00000000" w:rsidDel="00000000" w:rsidP="00000000" w:rsidRDefault="00000000" w:rsidRPr="00000000" w14:paraId="00000024">
            <w:pPr>
              <w:spacing w:after="0" w:line="240" w:lineRule="auto"/>
              <w:ind w:hanging="2"/>
              <w:rPr/>
            </w:pPr>
            <w:r w:rsidDel="00000000" w:rsidR="00000000" w:rsidRPr="00000000">
              <w:rPr>
                <w:rtl w:val="0"/>
              </w:rPr>
              <w:t xml:space="preserve">Header type</w:t>
            </w:r>
          </w:p>
        </w:tc>
        <w:tc>
          <w:tcPr/>
          <w:p w:rsidR="00000000" w:rsidDel="00000000" w:rsidP="00000000" w:rsidRDefault="00000000" w:rsidRPr="00000000" w14:paraId="00000025">
            <w:pPr>
              <w:spacing w:after="0" w:line="240" w:lineRule="auto"/>
              <w:ind w:hanging="2"/>
              <w:rPr/>
            </w:pPr>
            <w:r w:rsidDel="00000000" w:rsidR="00000000" w:rsidRPr="00000000">
              <w:rPr>
                <w:rtl w:val="0"/>
              </w:rPr>
              <w:t xml:space="preserve">TO39</w:t>
            </w:r>
          </w:p>
        </w:tc>
      </w:tr>
      <w:tr>
        <w:trPr>
          <w:cantSplit w:val="0"/>
          <w:trHeight w:val="20" w:hRule="atLeast"/>
          <w:tblHeader w:val="0"/>
        </w:trPr>
        <w:tc>
          <w:tcPr>
            <w:vMerge w:val="continue"/>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7">
            <w:pPr>
              <w:spacing w:after="0" w:line="240" w:lineRule="auto"/>
              <w:ind w:hanging="2"/>
              <w:rPr/>
            </w:pPr>
            <w:r w:rsidDel="00000000" w:rsidR="00000000" w:rsidRPr="00000000">
              <w:rPr>
                <w:rtl w:val="0"/>
              </w:rPr>
              <w:t xml:space="preserve">Number of the pins</w:t>
            </w:r>
          </w:p>
        </w:tc>
        <w:tc>
          <w:tcPr/>
          <w:p w:rsidR="00000000" w:rsidDel="00000000" w:rsidP="00000000" w:rsidRDefault="00000000" w:rsidRPr="00000000" w14:paraId="00000028">
            <w:pPr>
              <w:spacing w:after="0" w:line="240" w:lineRule="auto"/>
              <w:ind w:hanging="2"/>
              <w:rPr/>
            </w:pPr>
            <w:r w:rsidDel="00000000" w:rsidR="00000000" w:rsidRPr="00000000">
              <w:rPr>
                <w:rtl w:val="0"/>
              </w:rPr>
              <w:t xml:space="preserve">8 pin</w:t>
            </w:r>
          </w:p>
        </w:tc>
      </w:tr>
      <w:tr>
        <w:trPr>
          <w:cantSplit w:val="0"/>
          <w:trHeight w:val="20" w:hRule="atLeast"/>
          <w:tblHeader w:val="0"/>
        </w:trPr>
        <w:tc>
          <w:tcPr>
            <w:vMerge w:val="continue"/>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A">
            <w:pPr>
              <w:spacing w:after="0" w:line="240" w:lineRule="auto"/>
              <w:ind w:hanging="2"/>
              <w:rPr/>
            </w:pPr>
            <w:r w:rsidDel="00000000" w:rsidR="00000000" w:rsidRPr="00000000">
              <w:rPr>
                <w:rtl w:val="0"/>
              </w:rPr>
              <w:t xml:space="preserve">Header material</w:t>
            </w:r>
          </w:p>
        </w:tc>
        <w:tc>
          <w:tcPr/>
          <w:p w:rsidR="00000000" w:rsidDel="00000000" w:rsidP="00000000" w:rsidRDefault="00000000" w:rsidRPr="00000000" w14:paraId="0000002B">
            <w:pPr>
              <w:spacing w:after="0" w:line="240" w:lineRule="auto"/>
              <w:ind w:hanging="2"/>
              <w:rPr/>
            </w:pPr>
            <w:r w:rsidDel="00000000" w:rsidR="00000000" w:rsidRPr="00000000">
              <w:rPr>
                <w:rtl w:val="0"/>
              </w:rPr>
              <w:t xml:space="preserve">Kovar (alloy complying with ASTM F-15)</w:t>
            </w:r>
          </w:p>
        </w:tc>
      </w:tr>
      <w:tr>
        <w:trPr>
          <w:cantSplit w:val="0"/>
          <w:trHeight w:val="360" w:hRule="atLeast"/>
          <w:tblHeader w:val="0"/>
        </w:trPr>
        <w:tc>
          <w:tcPr>
            <w:vMerge w:val="continue"/>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D">
            <w:pPr>
              <w:spacing w:after="0" w:line="240" w:lineRule="auto"/>
              <w:ind w:hanging="2"/>
              <w:rPr/>
            </w:pPr>
            <w:r w:rsidDel="00000000" w:rsidR="00000000" w:rsidRPr="00000000">
              <w:rPr>
                <w:rtl w:val="0"/>
              </w:rPr>
              <w:t xml:space="preserve">Metallization of the header</w:t>
            </w:r>
          </w:p>
        </w:tc>
        <w:tc>
          <w:tcPr/>
          <w:p w:rsidR="00000000" w:rsidDel="00000000" w:rsidP="00000000" w:rsidRDefault="00000000" w:rsidRPr="00000000" w14:paraId="0000002E">
            <w:pPr>
              <w:spacing w:after="0" w:line="240" w:lineRule="auto"/>
              <w:rPr/>
            </w:pPr>
            <w:r w:rsidDel="00000000" w:rsidR="00000000" w:rsidRPr="00000000">
              <w:rPr>
                <w:rtl w:val="0"/>
              </w:rPr>
              <w:t xml:space="preserve">1. Ni layer - metallization thickness 1.27-3.8 μm</w:t>
            </w:r>
          </w:p>
          <w:p w:rsidR="00000000" w:rsidDel="00000000" w:rsidP="00000000" w:rsidRDefault="00000000" w:rsidRPr="00000000" w14:paraId="0000002F">
            <w:pPr>
              <w:spacing w:after="0" w:line="240" w:lineRule="auto"/>
              <w:rPr/>
            </w:pPr>
            <w:r w:rsidDel="00000000" w:rsidR="00000000" w:rsidRPr="00000000">
              <w:rPr>
                <w:rtl w:val="0"/>
              </w:rPr>
              <w:t xml:space="preserve">2. Au layer - metallization thickness &gt;1.27 μm</w:t>
            </w:r>
          </w:p>
        </w:tc>
      </w:tr>
      <w:tr>
        <w:trPr>
          <w:cantSplit w:val="0"/>
          <w:trHeight w:val="20" w:hRule="atLeast"/>
          <w:tblHeader w:val="0"/>
        </w:trPr>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1">
            <w:pPr>
              <w:spacing w:after="0" w:line="240" w:lineRule="auto"/>
              <w:ind w:hanging="2"/>
              <w:rPr/>
            </w:pPr>
            <w:r w:rsidDel="00000000" w:rsidR="00000000" w:rsidRPr="00000000">
              <w:rPr>
                <w:rtl w:val="0"/>
              </w:rPr>
              <w:t xml:space="preserve">Pin material</w:t>
            </w:r>
          </w:p>
        </w:tc>
        <w:tc>
          <w:tcPr/>
          <w:p w:rsidR="00000000" w:rsidDel="00000000" w:rsidP="00000000" w:rsidRDefault="00000000" w:rsidRPr="00000000" w14:paraId="00000032">
            <w:pPr>
              <w:spacing w:after="0" w:line="240" w:lineRule="auto"/>
              <w:ind w:hanging="2"/>
              <w:rPr/>
            </w:pPr>
            <w:r w:rsidDel="00000000" w:rsidR="00000000" w:rsidRPr="00000000">
              <w:rPr>
                <w:rtl w:val="0"/>
              </w:rPr>
              <w:t xml:space="preserve">Kovar (alloy complying with ASTM F-15)</w:t>
            </w:r>
          </w:p>
        </w:tc>
      </w:tr>
      <w:tr>
        <w:trPr>
          <w:cantSplit w:val="0"/>
          <w:trHeight w:val="585" w:hRule="atLeast"/>
          <w:tblHeader w:val="0"/>
        </w:trPr>
        <w:tc>
          <w:tcPr>
            <w:vMerge w:val="continue"/>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4">
            <w:pPr>
              <w:spacing w:after="0" w:line="240" w:lineRule="auto"/>
              <w:ind w:hanging="2"/>
              <w:rPr/>
            </w:pPr>
            <w:r w:rsidDel="00000000" w:rsidR="00000000" w:rsidRPr="00000000">
              <w:rPr>
                <w:rtl w:val="0"/>
              </w:rPr>
              <w:t xml:space="preserve">Metallization of the pins</w:t>
            </w:r>
          </w:p>
        </w:tc>
        <w:tc>
          <w:tcPr/>
          <w:p w:rsidR="00000000" w:rsidDel="00000000" w:rsidP="00000000" w:rsidRDefault="00000000" w:rsidRPr="00000000" w14:paraId="00000035">
            <w:pPr>
              <w:spacing w:after="0" w:line="240" w:lineRule="auto"/>
              <w:rPr/>
            </w:pPr>
            <w:r w:rsidDel="00000000" w:rsidR="00000000" w:rsidRPr="00000000">
              <w:rPr>
                <w:rtl w:val="0"/>
              </w:rPr>
              <w:t xml:space="preserve">1. Ni layer - metallization thickness 1.27-3.8 μm</w:t>
            </w:r>
          </w:p>
          <w:p w:rsidR="00000000" w:rsidDel="00000000" w:rsidP="00000000" w:rsidRDefault="00000000" w:rsidRPr="00000000" w14:paraId="00000036">
            <w:pPr>
              <w:spacing w:after="0" w:line="240" w:lineRule="auto"/>
              <w:rPr/>
            </w:pPr>
            <w:r w:rsidDel="00000000" w:rsidR="00000000" w:rsidRPr="00000000">
              <w:rPr>
                <w:rtl w:val="0"/>
              </w:rPr>
              <w:t xml:space="preserve">2. Au layer - metallization thickness &gt; 1.27 μm</w:t>
            </w:r>
          </w:p>
        </w:tc>
      </w:tr>
      <w:tr>
        <w:trPr>
          <w:cantSplit w:val="0"/>
          <w:trHeight w:val="520" w:hRule="atLeast"/>
          <w:tblHeader w:val="0"/>
        </w:trPr>
        <w:tc>
          <w:tcPr>
            <w:vMerge w:val="continue"/>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8">
            <w:pPr>
              <w:spacing w:after="0" w:line="240" w:lineRule="auto"/>
              <w:ind w:hanging="2"/>
              <w:rPr/>
            </w:pPr>
            <w:r w:rsidDel="00000000" w:rsidR="00000000" w:rsidRPr="00000000">
              <w:rPr>
                <w:rtl w:val="0"/>
              </w:rPr>
              <w:t xml:space="preserve">Header sealing</w:t>
            </w:r>
          </w:p>
        </w:tc>
        <w:tc>
          <w:tcPr/>
          <w:p w:rsidR="00000000" w:rsidDel="00000000" w:rsidP="00000000" w:rsidRDefault="00000000" w:rsidRPr="00000000" w14:paraId="00000039">
            <w:pPr>
              <w:spacing w:after="0" w:line="240" w:lineRule="auto"/>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03A">
            <w:pPr>
              <w:spacing w:after="0" w:line="240" w:lineRule="auto"/>
              <w:ind w:hanging="2"/>
              <w:rPr/>
            </w:pPr>
            <w:r w:rsidDel="00000000" w:rsidR="00000000" w:rsidRPr="00000000">
              <w:rPr>
                <w:rtl w:val="0"/>
              </w:rPr>
              <w:t xml:space="preserve">10-8 mbar * l / s - e.g. Corning 7052 or equivalent</w:t>
            </w:r>
          </w:p>
        </w:tc>
      </w:tr>
      <w:tr>
        <w:trPr>
          <w:cantSplit w:val="0"/>
          <w:trHeight w:val="22" w:hRule="atLeast"/>
          <w:tblHeader w:val="0"/>
        </w:trPr>
        <w:tc>
          <w:tcPr>
            <w:vMerge w:val="continue"/>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C">
            <w:pPr>
              <w:spacing w:after="0" w:line="240" w:lineRule="auto"/>
              <w:ind w:hanging="2"/>
              <w:rPr/>
            </w:pPr>
            <w:r w:rsidDel="00000000" w:rsidR="00000000" w:rsidRPr="00000000">
              <w:rPr>
                <w:rtl w:val="0"/>
              </w:rPr>
              <w:t xml:space="preserve">Pin spacing diameter</w:t>
            </w:r>
          </w:p>
        </w:tc>
        <w:tc>
          <w:tcPr/>
          <w:p w:rsidR="00000000" w:rsidDel="00000000" w:rsidP="00000000" w:rsidRDefault="00000000" w:rsidRPr="00000000" w14:paraId="0000003D">
            <w:pPr>
              <w:spacing w:after="0" w:line="240" w:lineRule="auto"/>
              <w:ind w:hanging="2"/>
              <w:rPr/>
            </w:pPr>
            <w:r w:rsidDel="00000000" w:rsidR="00000000" w:rsidRPr="00000000">
              <w:rPr>
                <w:rtl w:val="0"/>
              </w:rPr>
              <w:t xml:space="preserve">5,08±0,05 mm</w:t>
            </w:r>
          </w:p>
        </w:tc>
      </w:tr>
      <w:tr>
        <w:trPr>
          <w:cantSplit w:val="0"/>
          <w:trHeight w:val="20" w:hRule="atLeast"/>
          <w:tblHeader w:val="0"/>
        </w:trPr>
        <w:tc>
          <w:tcPr>
            <w:vMerge w:val="continue"/>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F">
            <w:pPr>
              <w:spacing w:after="0" w:line="240" w:lineRule="auto"/>
              <w:ind w:hanging="2"/>
              <w:rPr/>
            </w:pPr>
            <w:r w:rsidDel="00000000" w:rsidR="00000000" w:rsidRPr="00000000">
              <w:rPr>
                <w:rtl w:val="0"/>
              </w:rPr>
              <w:t xml:space="preserve">Pin diameter</w:t>
            </w:r>
          </w:p>
        </w:tc>
        <w:tc>
          <w:tcPr/>
          <w:p w:rsidR="00000000" w:rsidDel="00000000" w:rsidP="00000000" w:rsidRDefault="00000000" w:rsidRPr="00000000" w14:paraId="00000040">
            <w:pPr>
              <w:spacing w:after="0" w:line="240" w:lineRule="auto"/>
              <w:ind w:hanging="2"/>
              <w:rPr/>
            </w:pPr>
            <w:r w:rsidDel="00000000" w:rsidR="00000000" w:rsidRPr="00000000">
              <w:rPr>
                <w:rtl w:val="0"/>
              </w:rPr>
              <w:t xml:space="preserve">0,45±0,05 mm</w:t>
            </w:r>
          </w:p>
        </w:tc>
      </w:tr>
      <w:tr>
        <w:trPr>
          <w:cantSplit w:val="0"/>
          <w:trHeight w:val="375" w:hRule="atLeast"/>
          <w:tblHeader w:val="0"/>
        </w:trPr>
        <w:tc>
          <w:tcPr>
            <w:vMerge w:val="continue"/>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2">
            <w:pPr>
              <w:spacing w:after="0" w:line="240" w:lineRule="auto"/>
              <w:ind w:hanging="2"/>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043">
            <w:pPr>
              <w:spacing w:after="0" w:line="240" w:lineRule="auto"/>
              <w:ind w:hanging="2"/>
              <w:rPr/>
            </w:pPr>
            <w:r w:rsidDel="00000000" w:rsidR="00000000" w:rsidRPr="00000000">
              <w:rPr>
                <w:rtl w:val="0"/>
              </w:rPr>
              <w:t xml:space="preserve">0,4±0,13 mm</w:t>
            </w:r>
          </w:p>
        </w:tc>
      </w:tr>
      <w:tr>
        <w:trPr>
          <w:cantSplit w:val="0"/>
          <w:trHeight w:val="20" w:hRule="atLeast"/>
          <w:tblHeader w:val="0"/>
        </w:trPr>
        <w:tc>
          <w:tcPr>
            <w:vMerge w:val="continue"/>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5">
            <w:pPr>
              <w:spacing w:after="0" w:line="240" w:lineRule="auto"/>
              <w:ind w:hanging="2"/>
              <w:rPr/>
            </w:pPr>
            <w:r w:rsidDel="00000000" w:rsidR="00000000" w:rsidRPr="00000000">
              <w:rPr>
                <w:rtl w:val="0"/>
              </w:rPr>
              <w:t xml:space="preserve">Pin surface roughness</w:t>
            </w:r>
          </w:p>
        </w:tc>
        <w:tc>
          <w:tcPr/>
          <w:p w:rsidR="00000000" w:rsidDel="00000000" w:rsidP="00000000" w:rsidRDefault="00000000" w:rsidRPr="00000000" w14:paraId="00000046">
            <w:pPr>
              <w:spacing w:after="0" w:line="240" w:lineRule="auto"/>
              <w:ind w:hanging="2"/>
              <w:rPr/>
            </w:pPr>
            <w:r w:rsidDel="00000000" w:rsidR="00000000" w:rsidRPr="00000000">
              <w:rPr>
                <w:rtl w:val="0"/>
              </w:rPr>
              <w:t xml:space="preserve">Ra 0.8 or lower</w:t>
            </w:r>
          </w:p>
        </w:tc>
      </w:tr>
      <w:tr>
        <w:trPr>
          <w:cantSplit w:val="0"/>
          <w:trHeight w:val="375" w:hRule="atLeast"/>
          <w:tblHeader w:val="0"/>
        </w:trPr>
        <w:tc>
          <w:tcPr>
            <w:vMerge w:val="continue"/>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8">
            <w:pPr>
              <w:spacing w:after="0" w:line="240" w:lineRule="auto"/>
              <w:ind w:hanging="2"/>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049">
            <w:pPr>
              <w:spacing w:after="0" w:line="240" w:lineRule="auto"/>
              <w:ind w:hanging="2"/>
              <w:rPr/>
            </w:pPr>
            <w:r w:rsidDel="00000000" w:rsidR="00000000" w:rsidRPr="00000000">
              <w:rPr>
                <w:rtl w:val="0"/>
              </w:rPr>
              <w:t xml:space="preserve">13,5±0,13 mm</w:t>
            </w:r>
          </w:p>
        </w:tc>
      </w:tr>
      <w:tr>
        <w:trPr>
          <w:cantSplit w:val="0"/>
          <w:trHeight w:val="20" w:hRule="atLeast"/>
          <w:tblHeader w:val="0"/>
        </w:trPr>
        <w:tc>
          <w:tcPr>
            <w:vMerge w:val="continue"/>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B">
            <w:pPr>
              <w:spacing w:after="0" w:line="240" w:lineRule="auto"/>
              <w:ind w:hanging="2"/>
              <w:rPr/>
            </w:pPr>
            <w:r w:rsidDel="00000000" w:rsidR="00000000" w:rsidRPr="00000000">
              <w:rPr>
                <w:rtl w:val="0"/>
              </w:rPr>
              <w:t xml:space="preserve">Other features of the header</w:t>
            </w:r>
          </w:p>
        </w:tc>
        <w:tc>
          <w:tcPr/>
          <w:p w:rsidR="00000000" w:rsidDel="00000000" w:rsidP="00000000" w:rsidRDefault="00000000" w:rsidRPr="00000000" w14:paraId="0000004C">
            <w:pPr>
              <w:spacing w:after="0" w:line="240" w:lineRule="auto"/>
              <w:ind w:hanging="2"/>
              <w:rPr/>
            </w:pPr>
            <w:r w:rsidDel="00000000" w:rsidR="00000000" w:rsidRPr="00000000">
              <w:rPr>
                <w:rtl w:val="0"/>
              </w:rPr>
              <w:t xml:space="preserve">Following Annex 1</w:t>
            </w:r>
          </w:p>
        </w:tc>
      </w:tr>
    </w:tbl>
    <w:p w:rsidR="00000000" w:rsidDel="00000000" w:rsidP="00000000" w:rsidRDefault="00000000" w:rsidRPr="00000000" w14:paraId="0000004D">
      <w:pPr>
        <w:spacing w:after="0" w:line="360" w:lineRule="auto"/>
        <w:rPr/>
      </w:pPr>
      <w:r w:rsidDel="00000000" w:rsidR="00000000" w:rsidRPr="00000000">
        <w:rPr>
          <w:rtl w:val="0"/>
        </w:rPr>
      </w:r>
    </w:p>
    <w:p w:rsidR="00000000" w:rsidDel="00000000" w:rsidP="00000000" w:rsidRDefault="00000000" w:rsidRPr="00000000" w14:paraId="0000004E">
      <w:pPr>
        <w:spacing w:after="0" w:line="360" w:lineRule="auto"/>
        <w:rPr/>
      </w:pPr>
      <w:r w:rsidDel="00000000" w:rsidR="00000000" w:rsidRPr="00000000">
        <w:rPr>
          <w:rtl w:val="0"/>
        </w:rPr>
      </w:r>
    </w:p>
    <w:p w:rsidR="00000000" w:rsidDel="00000000" w:rsidP="00000000" w:rsidRDefault="00000000" w:rsidRPr="00000000" w14:paraId="0000004F">
      <w:pPr>
        <w:spacing w:after="0" w:line="360" w:lineRule="auto"/>
        <w:rPr/>
      </w:pPr>
      <w:r w:rsidDel="00000000" w:rsidR="00000000" w:rsidRPr="00000000">
        <w:rPr>
          <w:rtl w:val="0"/>
        </w:rPr>
        <w:t xml:space="preserve">Attachment 1: Dimensioning and information on other features of the header (the attachment is also available as a PDF document)</w:t>
      </w:r>
    </w:p>
    <w:p w:rsidR="00000000" w:rsidDel="00000000" w:rsidP="00000000" w:rsidRDefault="00000000" w:rsidRPr="00000000" w14:paraId="00000050">
      <w:pPr>
        <w:spacing w:after="0" w:line="360" w:lineRule="auto"/>
        <w:rPr/>
      </w:pPr>
      <w:r w:rsidDel="00000000" w:rsidR="00000000" w:rsidRPr="00000000">
        <w:rPr/>
        <w:drawing>
          <wp:inline distB="0" distT="0" distL="0" distR="0">
            <wp:extent cx="5899150" cy="2903855"/>
            <wp:effectExtent b="0" l="0" r="0" t="0"/>
            <wp:docPr id="4" name="image1.png"/>
            <a:graphic>
              <a:graphicData uri="http://schemas.openxmlformats.org/drawingml/2006/picture">
                <pic:pic>
                  <pic:nvPicPr>
                    <pic:cNvPr id="0" name="image1.png"/>
                    <pic:cNvPicPr preferRelativeResize="0"/>
                  </pic:nvPicPr>
                  <pic:blipFill>
                    <a:blip r:embed="rId7"/>
                    <a:srcRect b="0" l="2147" r="2881" t="0"/>
                    <a:stretch>
                      <a:fillRect/>
                    </a:stretch>
                  </pic:blipFill>
                  <pic:spPr>
                    <a:xfrm>
                      <a:off x="0" y="0"/>
                      <a:ext cx="5899150" cy="2903855"/>
                    </a:xfrm>
                    <a:prstGeom prst="rect"/>
                    <a:ln/>
                  </pic:spPr>
                </pic:pic>
              </a:graphicData>
            </a:graphic>
          </wp:inline>
        </w:drawing>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28.0" w:type="dxa"/>
        <w:left w:w="70.0" w:type="dxa"/>
        <w:bottom w:w="28.0" w:type="dxa"/>
        <w:right w:w="70.0" w:type="dxa"/>
      </w:tblCellMar>
    </w:tblPr>
  </w:style>
  <w:style w:type="table" w:styleId="a0" w:customStyle="1">
    <w:basedOn w:val="TableNormal1"/>
    <w:tblPr>
      <w:tblStyleRowBandSize w:val="1"/>
      <w:tblStyleColBandSize w:val="1"/>
      <w:tblCellMar>
        <w:top w:w="28.0" w:type="dxa"/>
        <w:left w:w="70.0" w:type="dxa"/>
        <w:bottom w:w="28.0" w:type="dxa"/>
        <w:right w:w="70.0" w:type="dxa"/>
      </w:tblCellMar>
    </w:tblPr>
  </w:style>
  <w:style w:type="paragraph" w:styleId="Akapitzlist">
    <w:name w:val="List Paragraph"/>
    <w:basedOn w:val="Normalny"/>
    <w:uiPriority w:val="34"/>
    <w:qFormat w:val="1"/>
    <w:rsid w:val="00894AF5"/>
    <w:pPr>
      <w:ind w:left="720"/>
      <w:contextualSpacing w:val="1"/>
    </w:pPr>
  </w:style>
  <w:style w:type="paragraph" w:styleId="Tekstprzypisukocowego">
    <w:name w:val="endnote text"/>
    <w:basedOn w:val="Normalny"/>
    <w:link w:val="TekstprzypisukocowegoZnak"/>
    <w:uiPriority w:val="99"/>
    <w:semiHidden w:val="1"/>
    <w:unhideWhenUsed w:val="1"/>
    <w:rsid w:val="006252C5"/>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6252C5"/>
    <w:rPr>
      <w:sz w:val="20"/>
      <w:szCs w:val="20"/>
    </w:rPr>
  </w:style>
  <w:style w:type="character" w:styleId="Odwoanieprzypisukocowego">
    <w:name w:val="endnote reference"/>
    <w:basedOn w:val="Domylnaczcionkaakapitu"/>
    <w:uiPriority w:val="99"/>
    <w:semiHidden w:val="1"/>
    <w:unhideWhenUsed w:val="1"/>
    <w:rsid w:val="006252C5"/>
    <w:rPr>
      <w:vertAlign w:val="superscript"/>
    </w:rPr>
  </w:style>
  <w:style w:type="table" w:styleId="a1" w:customStyle="1">
    <w:basedOn w:val="TableNormal1"/>
    <w:tblPr>
      <w:tblStyleRowBandSize w:val="1"/>
      <w:tblStyleColBandSize w:val="1"/>
      <w:tblCellMar>
        <w:top w:w="28.0" w:type="dxa"/>
        <w:left w:w="70.0" w:type="dxa"/>
        <w:bottom w:w="28.0" w:type="dxa"/>
        <w:right w:w="70.0" w:type="dxa"/>
      </w:tblCellMar>
    </w:tblPr>
  </w:style>
  <w:style w:type="table" w:styleId="a2" w:customStyle="1">
    <w:basedOn w:val="TableNormal1"/>
    <w:tblPr>
      <w:tblStyleRowBandSize w:val="1"/>
      <w:tblStyleColBandSize w:val="1"/>
      <w:tblCellMar>
        <w:top w:w="28.0" w:type="dxa"/>
        <w:left w:w="70.0" w:type="dxa"/>
        <w:bottom w:w="28.0" w:type="dxa"/>
        <w:right w:w="70.0" w:type="dxa"/>
      </w:tblCellMar>
    </w:tblPr>
  </w:style>
  <w:style w:type="table" w:styleId="a3" w:customStyle="1">
    <w:basedOn w:val="TableNormal1"/>
    <w:tblPr>
      <w:tblStyleRowBandSize w:val="1"/>
      <w:tblStyleColBandSize w:val="1"/>
      <w:tblCellMar>
        <w:top w:w="28.0" w:type="dxa"/>
        <w:left w:w="70.0" w:type="dxa"/>
        <w:bottom w:w="28.0" w:type="dxa"/>
        <w:right w:w="70.0" w:type="dxa"/>
      </w:tblCellMar>
    </w:tblPr>
  </w:style>
  <w:style w:type="table" w:styleId="a4" w:customStyle="1">
    <w:basedOn w:val="TableNormal1"/>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INpmv1d/ZJhDXL82FbHETNJLw==">AMUW2mWEHgLhVwvu6mG8O/0MNy+WaGtYBPlgey2RabLav7Nrwd/d+oo1eP7wat821gMeCBr/UFfkbOMH9ICsjRF2sPxsmEEUZNN/kwF3nv7HK0onUcUHE2zzRLqTlR6wlhT4W/BrULTj6GUHvtGr5BgiDVSlg+nZyO+51SH3HVw+FAWg+VsxbVtN3I0yIRP5AklilKAfCx3W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2021-06-17T13:32:00Z</dcterms:created>
  <dc:creator>Przemysław Ropelewski</dc:creator>
</cp:coreProperties>
</file>