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4C24" w14:textId="5771A514" w:rsidR="00D9115A" w:rsidRDefault="00790582">
      <w:pPr>
        <w:pBdr>
          <w:top w:val="nil"/>
          <w:left w:val="nil"/>
          <w:bottom w:val="nil"/>
          <w:right w:val="nil"/>
          <w:between w:val="nil"/>
        </w:pBdr>
        <w:spacing w:line="360" w:lineRule="auto"/>
        <w:ind w:left="0" w:hanging="2"/>
        <w:jc w:val="right"/>
        <w:rPr>
          <w:rFonts w:ascii="Arial" w:eastAsia="Arial" w:hAnsi="Arial" w:cs="Arial"/>
          <w:b/>
          <w:color w:val="000000"/>
          <w:sz w:val="20"/>
          <w:szCs w:val="20"/>
        </w:rPr>
      </w:pPr>
      <w:bookmarkStart w:id="0" w:name="_heading=h.tyjcwt" w:colFirst="0" w:colLast="0"/>
      <w:bookmarkEnd w:id="0"/>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w:t>
      </w:r>
      <w:r w:rsidR="00425AFA">
        <w:rPr>
          <w:rFonts w:ascii="Arial" w:eastAsia="Arial" w:hAnsi="Arial" w:cs="Arial"/>
          <w:color w:val="000000"/>
          <w:sz w:val="20"/>
          <w:szCs w:val="20"/>
        </w:rPr>
        <w:t>17</w:t>
      </w:r>
      <w:r w:rsidR="00425AFA">
        <w:rPr>
          <w:rFonts w:ascii="Arial" w:eastAsia="Arial" w:hAnsi="Arial" w:cs="Arial"/>
          <w:color w:val="000000"/>
          <w:sz w:val="20"/>
          <w:szCs w:val="20"/>
          <w:vertAlign w:val="superscript"/>
        </w:rPr>
        <w:t>th</w:t>
      </w:r>
      <w:r>
        <w:rPr>
          <w:rFonts w:ascii="Arial" w:eastAsia="Arial" w:hAnsi="Arial" w:cs="Arial"/>
          <w:color w:val="000000"/>
          <w:sz w:val="20"/>
          <w:szCs w:val="20"/>
        </w:rPr>
        <w:t xml:space="preserve"> A</w:t>
      </w:r>
      <w:r w:rsidR="00425AFA">
        <w:rPr>
          <w:rFonts w:ascii="Arial" w:eastAsia="Arial" w:hAnsi="Arial" w:cs="Arial"/>
          <w:color w:val="000000"/>
          <w:sz w:val="20"/>
          <w:szCs w:val="20"/>
        </w:rPr>
        <w:t>ugust</w:t>
      </w:r>
      <w:r>
        <w:rPr>
          <w:rFonts w:ascii="Arial" w:eastAsia="Arial" w:hAnsi="Arial" w:cs="Arial"/>
          <w:color w:val="000000"/>
          <w:sz w:val="20"/>
          <w:szCs w:val="20"/>
        </w:rPr>
        <w:t xml:space="preserve"> 2021</w:t>
      </w:r>
    </w:p>
    <w:p w14:paraId="026EF73E" w14:textId="77777777" w:rsidR="00D9115A" w:rsidRDefault="00D9115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760FCA3B" w14:textId="25EE3887" w:rsidR="00D9115A" w:rsidRDefault="00790582">
      <w:pPr>
        <w:pBdr>
          <w:top w:val="nil"/>
          <w:left w:val="nil"/>
          <w:bottom w:val="nil"/>
          <w:right w:val="nil"/>
          <w:between w:val="nil"/>
        </w:pBdr>
        <w:spacing w:after="240" w:line="36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Request for Proposals No. SDM-WS/</w:t>
      </w:r>
      <w:r w:rsidR="00425AFA">
        <w:rPr>
          <w:rFonts w:ascii="Arial" w:eastAsia="Arial" w:hAnsi="Arial" w:cs="Arial"/>
          <w:b/>
          <w:color w:val="000000"/>
          <w:sz w:val="20"/>
          <w:szCs w:val="20"/>
        </w:rPr>
        <w:t>57</w:t>
      </w:r>
      <w:r>
        <w:rPr>
          <w:rFonts w:ascii="Arial" w:eastAsia="Arial" w:hAnsi="Arial" w:cs="Arial"/>
          <w:b/>
          <w:color w:val="000000"/>
          <w:sz w:val="20"/>
          <w:szCs w:val="20"/>
        </w:rPr>
        <w:t xml:space="preserve"> of </w:t>
      </w:r>
      <w:r w:rsidR="00425AFA">
        <w:rPr>
          <w:rFonts w:ascii="Arial" w:eastAsia="Arial" w:hAnsi="Arial" w:cs="Arial"/>
          <w:b/>
          <w:color w:val="000000"/>
          <w:sz w:val="20"/>
          <w:szCs w:val="20"/>
        </w:rPr>
        <w:t>17</w:t>
      </w:r>
      <w:r w:rsidR="00425AFA">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A</w:t>
      </w:r>
      <w:r w:rsidR="00425AFA">
        <w:rPr>
          <w:rFonts w:ascii="Arial" w:eastAsia="Arial" w:hAnsi="Arial" w:cs="Arial"/>
          <w:b/>
          <w:color w:val="000000"/>
          <w:sz w:val="20"/>
          <w:szCs w:val="20"/>
        </w:rPr>
        <w:t>ugust</w:t>
      </w:r>
      <w:r>
        <w:rPr>
          <w:rFonts w:ascii="Arial" w:eastAsia="Arial" w:hAnsi="Arial" w:cs="Arial"/>
          <w:b/>
          <w:color w:val="000000"/>
          <w:sz w:val="20"/>
          <w:szCs w:val="20"/>
        </w:rPr>
        <w:t xml:space="preserve"> 2021</w:t>
      </w:r>
    </w:p>
    <w:p w14:paraId="56CE28EE" w14:textId="77777777" w:rsidR="00D9115A" w:rsidRDefault="00790582">
      <w:pPr>
        <w:numPr>
          <w:ilvl w:val="0"/>
          <w:numId w:val="16"/>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General information</w:t>
      </w:r>
    </w:p>
    <w:p w14:paraId="3E0507CE" w14:textId="73AE6C8B" w:rsidR="00D9115A" w:rsidRDefault="00790582">
      <w:pPr>
        <w:numPr>
          <w:ilvl w:val="0"/>
          <w:numId w:val="10"/>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Order: </w:t>
      </w:r>
      <w:r w:rsidR="00425AFA">
        <w:rPr>
          <w:rFonts w:ascii="Arial" w:eastAsia="Arial" w:hAnsi="Arial" w:cs="Arial"/>
          <w:color w:val="000000"/>
          <w:sz w:val="20"/>
          <w:szCs w:val="20"/>
        </w:rPr>
        <w:t>t</w:t>
      </w:r>
      <w:r>
        <w:rPr>
          <w:rFonts w:ascii="Arial" w:eastAsia="Arial" w:hAnsi="Arial" w:cs="Arial"/>
          <w:color w:val="000000"/>
          <w:sz w:val="20"/>
          <w:szCs w:val="20"/>
        </w:rPr>
        <w:t xml:space="preserve">his request for </w:t>
      </w:r>
      <w:r w:rsidR="00425AFA">
        <w:rPr>
          <w:rFonts w:ascii="Arial" w:eastAsia="Arial" w:hAnsi="Arial" w:cs="Arial"/>
          <w:color w:val="000000"/>
          <w:sz w:val="20"/>
          <w:szCs w:val="20"/>
        </w:rPr>
        <w:t>proposals</w:t>
      </w:r>
      <w:r>
        <w:rPr>
          <w:rFonts w:ascii="Arial" w:eastAsia="Arial" w:hAnsi="Arial" w:cs="Arial"/>
          <w:color w:val="000000"/>
          <w:sz w:val="20"/>
          <w:szCs w:val="20"/>
        </w:rPr>
        <w:t xml:space="preserve"> relates to </w:t>
      </w:r>
      <w:r w:rsidR="00425AFA">
        <w:rPr>
          <w:rFonts w:ascii="Arial" w:eastAsia="Arial" w:hAnsi="Arial" w:cs="Arial"/>
          <w:color w:val="000000"/>
          <w:sz w:val="20"/>
          <w:szCs w:val="20"/>
        </w:rPr>
        <w:t>provision of a service,</w:t>
      </w:r>
      <w:r>
        <w:rPr>
          <w:rFonts w:ascii="Arial" w:eastAsia="Arial" w:hAnsi="Arial" w:cs="Arial"/>
          <w:color w:val="000000"/>
          <w:sz w:val="20"/>
          <w:szCs w:val="20"/>
        </w:rPr>
        <w:t xml:space="preserve"> needed for comprehensive implementation by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headquarters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the project "Production technology of innovative epitaxial structures and VCSEL laser instruments for photonics development" as part of the Path for Mazovia / 2019 competition, application number: MAZOWSZE / 0032/19, Agreement of November 21, 2019, No. MAZOWSZE/0032/19-00 concluded with the National Center for Research and Development.</w:t>
      </w:r>
    </w:p>
    <w:p w14:paraId="62093F67" w14:textId="77777777" w:rsidR="00D9115A" w:rsidRDefault="00790582">
      <w:pPr>
        <w:numPr>
          <w:ilvl w:val="0"/>
          <w:numId w:val="10"/>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Ordering Party: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with its registered office in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ul. </w:t>
      </w:r>
      <w:proofErr w:type="spellStart"/>
      <w:r>
        <w:rPr>
          <w:rFonts w:ascii="Arial" w:eastAsia="Arial" w:hAnsi="Arial" w:cs="Arial"/>
          <w:color w:val="000000"/>
          <w:sz w:val="20"/>
          <w:szCs w:val="20"/>
        </w:rPr>
        <w:t>Poznańska</w:t>
      </w:r>
      <w:proofErr w:type="spellEnd"/>
      <w:r>
        <w:rPr>
          <w:rFonts w:ascii="Arial" w:eastAsia="Arial" w:hAnsi="Arial" w:cs="Arial"/>
          <w:color w:val="000000"/>
          <w:sz w:val="20"/>
          <w:szCs w:val="20"/>
        </w:rPr>
        <w:t xml:space="preserve"> 129/133, 05-850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entered into the Register of Entrepreneurs of the National Court Register kept by the District Court for the Capital City of Warsaw </w:t>
      </w:r>
      <w:proofErr w:type="spellStart"/>
      <w:r>
        <w:rPr>
          <w:rFonts w:ascii="Arial" w:eastAsia="Arial" w:hAnsi="Arial" w:cs="Arial"/>
          <w:color w:val="000000"/>
          <w:sz w:val="20"/>
          <w:szCs w:val="20"/>
        </w:rPr>
        <w:t>Warsaw</w:t>
      </w:r>
      <w:proofErr w:type="spellEnd"/>
      <w:r>
        <w:rPr>
          <w:rFonts w:ascii="Arial" w:eastAsia="Arial" w:hAnsi="Arial" w:cs="Arial"/>
          <w:color w:val="000000"/>
          <w:sz w:val="20"/>
          <w:szCs w:val="20"/>
        </w:rPr>
        <w:t xml:space="preserve"> in Warsaw, 14th Commercial Division of the National Court Register, under KRS number 0000113394, with tax identification number NIP: 5270207340, REGON: 010265179, with share capital of PLN 729,000.00 (fully paid up).</w:t>
      </w:r>
    </w:p>
    <w:p w14:paraId="17D23CE5" w14:textId="77777777" w:rsidR="00D9115A" w:rsidRDefault="00790582">
      <w:pPr>
        <w:numPr>
          <w:ilvl w:val="0"/>
          <w:numId w:val="11"/>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Description of the object of the contract</w:t>
      </w:r>
    </w:p>
    <w:p w14:paraId="7776D4EF" w14:textId="77777777" w:rsidR="00D9115A" w:rsidRDefault="00790582">
      <w:pPr>
        <w:numPr>
          <w:ilvl w:val="0"/>
          <w:numId w:val="3"/>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subject of the Order is provision of a service needed for implementation by the Ordering Party of the project named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24D3DA6C" w14:textId="77777777" w:rsidR="00D9115A" w:rsidRDefault="00790582">
      <w:pPr>
        <w:numPr>
          <w:ilvl w:val="0"/>
          <w:numId w:val="3"/>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subject of the order is the high temperature cleaning of graphitic parts of the  MOCVD reactor </w:t>
      </w:r>
      <w:proofErr w:type="spellStart"/>
      <w:r>
        <w:rPr>
          <w:rFonts w:ascii="Arial" w:eastAsia="Arial" w:hAnsi="Arial" w:cs="Arial"/>
          <w:color w:val="000000"/>
          <w:sz w:val="20"/>
          <w:szCs w:val="20"/>
        </w:rPr>
        <w:t>Aixtron</w:t>
      </w:r>
      <w:proofErr w:type="spellEnd"/>
      <w:r>
        <w:rPr>
          <w:rFonts w:ascii="Arial" w:eastAsia="Arial" w:hAnsi="Arial" w:cs="Arial"/>
          <w:color w:val="000000"/>
          <w:sz w:val="20"/>
          <w:szCs w:val="20"/>
        </w:rPr>
        <w:t xml:space="preserve"> AIX2800G4.</w:t>
      </w:r>
    </w:p>
    <w:p w14:paraId="6E6F35FA" w14:textId="03652EFD" w:rsidR="00D9115A" w:rsidRDefault="00790582">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1" w:name="_heading=h.3dy6vkm" w:colFirst="0" w:colLast="0"/>
      <w:bookmarkEnd w:id="1"/>
      <w:r>
        <w:rPr>
          <w:rFonts w:ascii="Arial" w:eastAsia="Arial" w:hAnsi="Arial" w:cs="Arial"/>
          <w:b/>
          <w:color w:val="000000"/>
          <w:sz w:val="20"/>
          <w:szCs w:val="20"/>
        </w:rPr>
        <w:t xml:space="preserve">The detailed scope of the subject of the order includes cleaning </w:t>
      </w:r>
      <w:r w:rsidR="00430864">
        <w:rPr>
          <w:rFonts w:ascii="Arial" w:eastAsia="Arial" w:hAnsi="Arial" w:cs="Arial"/>
          <w:b/>
          <w:color w:val="000000"/>
          <w:sz w:val="20"/>
          <w:szCs w:val="20"/>
        </w:rPr>
        <w:t>of the following parts:</w:t>
      </w:r>
    </w:p>
    <w:p w14:paraId="3B76A25E" w14:textId="77777777" w:rsidR="00D9115A" w:rsidRDefault="00790582">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Cover Star (S/N: 100215823) – 1 pc.</w:t>
      </w:r>
    </w:p>
    <w:p w14:paraId="513FD560" w14:textId="3A3A5959" w:rsidR="00D9115A" w:rsidRDefault="00790582">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 xml:space="preserve">Ceiling (S/N: 100201394) – </w:t>
      </w:r>
      <w:r w:rsidR="00425AFA">
        <w:rPr>
          <w:rFonts w:ascii="Arial" w:eastAsia="Arial" w:hAnsi="Arial" w:cs="Arial"/>
          <w:color w:val="222222"/>
          <w:sz w:val="20"/>
          <w:szCs w:val="20"/>
        </w:rPr>
        <w:t>1</w:t>
      </w:r>
      <w:r>
        <w:rPr>
          <w:rFonts w:ascii="Arial" w:eastAsia="Arial" w:hAnsi="Arial" w:cs="Arial"/>
          <w:color w:val="222222"/>
          <w:sz w:val="20"/>
          <w:szCs w:val="20"/>
        </w:rPr>
        <w:t xml:space="preserve"> pc.</w:t>
      </w:r>
    </w:p>
    <w:p w14:paraId="579BCCE6" w14:textId="77777777" w:rsidR="00D9115A" w:rsidRDefault="00790582">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Collector bottom (S/N: 100244247)  – 1 pc.</w:t>
      </w:r>
    </w:p>
    <w:p w14:paraId="0F10745E" w14:textId="77777777" w:rsidR="00D9115A" w:rsidRDefault="00790582">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Collector center (S/N: 100244273) – 1 pc.</w:t>
      </w:r>
    </w:p>
    <w:p w14:paraId="054CE157" w14:textId="77777777" w:rsidR="00D9115A" w:rsidRDefault="00790582">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rPr>
      </w:pPr>
      <w:r>
        <w:rPr>
          <w:rFonts w:ascii="Arial" w:eastAsia="Arial" w:hAnsi="Arial" w:cs="Arial"/>
          <w:color w:val="222222"/>
          <w:sz w:val="20"/>
          <w:szCs w:val="20"/>
        </w:rPr>
        <w:t>Collector top G4TM (S/N: 100244268) – 1 pc.</w:t>
      </w:r>
    </w:p>
    <w:p w14:paraId="0FEE696F" w14:textId="441023CD" w:rsidR="00D9115A" w:rsidRPr="004B0523" w:rsidRDefault="00790582">
      <w:pPr>
        <w:numPr>
          <w:ilvl w:val="0"/>
          <w:numId w:val="12"/>
        </w:numPr>
        <w:pBdr>
          <w:top w:val="nil"/>
          <w:left w:val="nil"/>
          <w:bottom w:val="nil"/>
          <w:right w:val="nil"/>
          <w:between w:val="nil"/>
        </w:pBdr>
        <w:shd w:val="clear" w:color="auto" w:fill="FFFFFF"/>
        <w:spacing w:line="360" w:lineRule="auto"/>
        <w:ind w:left="0" w:hanging="2"/>
        <w:rPr>
          <w:rFonts w:ascii="Arial" w:eastAsia="Arial" w:hAnsi="Arial" w:cs="Arial"/>
          <w:color w:val="222222"/>
          <w:sz w:val="20"/>
          <w:szCs w:val="20"/>
          <w:lang w:val="pl-PL"/>
        </w:rPr>
      </w:pPr>
      <w:r w:rsidRPr="004B0523">
        <w:rPr>
          <w:rFonts w:ascii="Arial" w:eastAsia="Arial" w:hAnsi="Arial" w:cs="Arial"/>
          <w:color w:val="222222"/>
          <w:sz w:val="20"/>
          <w:szCs w:val="20"/>
          <w:lang w:val="pl-PL"/>
        </w:rPr>
        <w:t>Planeta 12x4” (S/N: 100239770)  – 1 p</w:t>
      </w:r>
      <w:r w:rsidR="00425AFA">
        <w:rPr>
          <w:rFonts w:ascii="Arial" w:eastAsia="Arial" w:hAnsi="Arial" w:cs="Arial"/>
          <w:color w:val="222222"/>
          <w:sz w:val="20"/>
          <w:szCs w:val="20"/>
          <w:lang w:val="pl-PL"/>
        </w:rPr>
        <w:t>c.</w:t>
      </w:r>
    </w:p>
    <w:p w14:paraId="2CB695AE" w14:textId="22D6AD4C" w:rsidR="00D9115A" w:rsidRDefault="00790582">
      <w:pPr>
        <w:numPr>
          <w:ilvl w:val="0"/>
          <w:numId w:val="12"/>
        </w:numPr>
        <w:pBdr>
          <w:top w:val="nil"/>
          <w:left w:val="nil"/>
          <w:bottom w:val="nil"/>
          <w:right w:val="nil"/>
          <w:between w:val="nil"/>
        </w:pBdr>
        <w:shd w:val="clear" w:color="auto" w:fill="FFFFFF"/>
        <w:spacing w:after="120" w:line="360" w:lineRule="auto"/>
        <w:ind w:left="0" w:hanging="2"/>
        <w:rPr>
          <w:rFonts w:ascii="Arial" w:eastAsia="Arial" w:hAnsi="Arial" w:cs="Arial"/>
          <w:color w:val="222222"/>
          <w:sz w:val="20"/>
          <w:szCs w:val="20"/>
        </w:rPr>
      </w:pPr>
      <w:r>
        <w:rPr>
          <w:rFonts w:ascii="Arial" w:eastAsia="Arial" w:hAnsi="Arial" w:cs="Arial"/>
          <w:color w:val="222222"/>
          <w:sz w:val="20"/>
          <w:szCs w:val="20"/>
        </w:rPr>
        <w:t xml:space="preserve">Satellites – </w:t>
      </w:r>
      <w:r w:rsidR="00430864">
        <w:rPr>
          <w:rFonts w:ascii="Arial" w:eastAsia="Arial" w:hAnsi="Arial" w:cs="Arial"/>
          <w:color w:val="222222"/>
          <w:sz w:val="20"/>
          <w:szCs w:val="20"/>
        </w:rPr>
        <w:t>23</w:t>
      </w:r>
      <w:r>
        <w:rPr>
          <w:rFonts w:ascii="Arial" w:eastAsia="Arial" w:hAnsi="Arial" w:cs="Arial"/>
          <w:color w:val="222222"/>
          <w:sz w:val="20"/>
          <w:szCs w:val="20"/>
        </w:rPr>
        <w:t xml:space="preserve"> pcs.</w:t>
      </w:r>
    </w:p>
    <w:p w14:paraId="7398FF5C" w14:textId="2243141E" w:rsidR="00D9115A" w:rsidRDefault="00790582">
      <w:pPr>
        <w:numPr>
          <w:ilvl w:val="0"/>
          <w:numId w:val="4"/>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Arial" w:eastAsia="Arial" w:hAnsi="Arial" w:cs="Arial"/>
          <w:color w:val="000000"/>
          <w:sz w:val="20"/>
          <w:szCs w:val="20"/>
          <w:u w:val="single"/>
        </w:rPr>
        <w:t xml:space="preserve">as exemplary and </w:t>
      </w:r>
      <w:r w:rsidR="00430864">
        <w:rPr>
          <w:rFonts w:ascii="Arial" w:eastAsia="Arial" w:hAnsi="Arial" w:cs="Arial"/>
          <w:color w:val="000000"/>
          <w:sz w:val="20"/>
          <w:szCs w:val="20"/>
          <w:u w:val="single"/>
        </w:rPr>
        <w:t>ancillary</w:t>
      </w:r>
      <w:r>
        <w:rPr>
          <w:rFonts w:ascii="Arial" w:eastAsia="Arial" w:hAnsi="Arial" w:cs="Arial"/>
          <w:color w:val="000000"/>
          <w:sz w:val="20"/>
          <w:szCs w:val="20"/>
        </w:rPr>
        <w:t>.</w:t>
      </w:r>
    </w:p>
    <w:p w14:paraId="4F8973BE" w14:textId="75F8752D" w:rsidR="00D9115A" w:rsidRDefault="00790582">
      <w:pPr>
        <w:numPr>
          <w:ilvl w:val="0"/>
          <w:numId w:val="4"/>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The Ordering Party shall </w:t>
      </w:r>
      <w:r w:rsidR="00430864">
        <w:rPr>
          <w:rFonts w:ascii="Arial" w:eastAsia="Arial" w:hAnsi="Arial" w:cs="Arial"/>
          <w:color w:val="000000"/>
          <w:sz w:val="20"/>
          <w:szCs w:val="20"/>
        </w:rPr>
        <w:t xml:space="preserve">not accept submitting </w:t>
      </w:r>
      <w:r>
        <w:rPr>
          <w:rFonts w:ascii="Arial" w:eastAsia="Arial" w:hAnsi="Arial" w:cs="Arial"/>
          <w:color w:val="000000"/>
          <w:sz w:val="20"/>
          <w:szCs w:val="20"/>
        </w:rPr>
        <w:t>partial offers.</w:t>
      </w:r>
      <w:r>
        <w:rPr>
          <w:color w:val="000000"/>
        </w:rPr>
        <w:t xml:space="preserve"> </w:t>
      </w:r>
      <w:r>
        <w:rPr>
          <w:rFonts w:ascii="Arial" w:eastAsia="Arial" w:hAnsi="Arial" w:cs="Arial"/>
          <w:color w:val="000000"/>
          <w:sz w:val="20"/>
          <w:szCs w:val="20"/>
        </w:rPr>
        <w:t xml:space="preserve">Division of the procurement into parts is technologically unjustified, market and technological conditions mean that deliveries in smaller parts would make it difficult for the Ordering Party to correctly achieve the project objectives.  </w:t>
      </w:r>
    </w:p>
    <w:p w14:paraId="672A1BA9" w14:textId="77777777" w:rsidR="00D9115A" w:rsidRDefault="00790582">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0"/>
          <w:szCs w:val="20"/>
        </w:rPr>
      </w:pPr>
      <w:bookmarkStart w:id="3" w:name="_heading=h.1t3h5sf" w:colFirst="0" w:colLast="0"/>
      <w:bookmarkEnd w:id="3"/>
      <w:r>
        <w:rPr>
          <w:rFonts w:ascii="Arial" w:eastAsia="Arial" w:hAnsi="Arial" w:cs="Arial"/>
          <w:b/>
          <w:color w:val="000000"/>
          <w:sz w:val="20"/>
          <w:szCs w:val="20"/>
          <w:highlight w:val="lightGray"/>
        </w:rPr>
        <w:t>Completion deadline:</w:t>
      </w:r>
      <w:r>
        <w:rPr>
          <w:rFonts w:ascii="Arial" w:eastAsia="Arial" w:hAnsi="Arial" w:cs="Arial"/>
          <w:b/>
          <w:color w:val="000000"/>
          <w:sz w:val="20"/>
          <w:szCs w:val="20"/>
        </w:rPr>
        <w:t xml:space="preserve"> </w:t>
      </w:r>
    </w:p>
    <w:p w14:paraId="557401DA" w14:textId="2960AE24" w:rsidR="00D9115A" w:rsidRDefault="00790582">
      <w:pPr>
        <w:pBdr>
          <w:top w:val="nil"/>
          <w:left w:val="nil"/>
          <w:bottom w:val="nil"/>
          <w:right w:val="nil"/>
          <w:between w:val="nil"/>
        </w:pBdr>
        <w:spacing w:after="240" w:line="360" w:lineRule="auto"/>
        <w:ind w:left="0" w:hanging="2"/>
        <w:jc w:val="both"/>
      </w:pPr>
      <w:bookmarkStart w:id="4" w:name="_heading=h.4d34og8" w:colFirst="0" w:colLast="0"/>
      <w:bookmarkEnd w:id="4"/>
      <w:r>
        <w:rPr>
          <w:rFonts w:ascii="Arial" w:eastAsia="Arial" w:hAnsi="Arial" w:cs="Arial"/>
          <w:color w:val="000000"/>
          <w:sz w:val="20"/>
          <w:szCs w:val="20"/>
        </w:rPr>
        <w:t xml:space="preserve">Completion deadline: </w:t>
      </w:r>
      <w:r w:rsidR="00430864">
        <w:rPr>
          <w:rFonts w:ascii="Arial" w:eastAsia="Arial" w:hAnsi="Arial" w:cs="Arial"/>
          <w:color w:val="000000"/>
          <w:sz w:val="20"/>
          <w:szCs w:val="20"/>
        </w:rPr>
        <w:t>as soon as possible, not later than</w:t>
      </w:r>
      <w:r>
        <w:rPr>
          <w:rFonts w:ascii="Arial" w:eastAsia="Arial" w:hAnsi="Arial" w:cs="Arial"/>
          <w:color w:val="000000"/>
          <w:sz w:val="20"/>
          <w:szCs w:val="20"/>
        </w:rPr>
        <w:t xml:space="preserve"> </w:t>
      </w:r>
      <w:r>
        <w:rPr>
          <w:rFonts w:ascii="Arial" w:eastAsia="Arial" w:hAnsi="Arial" w:cs="Arial"/>
          <w:b/>
          <w:color w:val="000000"/>
          <w:sz w:val="20"/>
          <w:szCs w:val="20"/>
        </w:rPr>
        <w:t>6 weeks from placing the order.</w:t>
      </w:r>
    </w:p>
    <w:p w14:paraId="5E77F1C5" w14:textId="77777777" w:rsidR="00D9115A" w:rsidRDefault="00790582">
      <w:pPr>
        <w:numPr>
          <w:ilvl w:val="0"/>
          <w:numId w:val="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Conditions for participating in the procedure and a description of how to assess compliance with them.</w:t>
      </w:r>
    </w:p>
    <w:p w14:paraId="3A82E9C9" w14:textId="77777777" w:rsidR="00D9115A" w:rsidRDefault="00790582">
      <w:pPr>
        <w:numPr>
          <w:ilvl w:val="0"/>
          <w:numId w:val="17"/>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Contractor applying for the award of the contract in question should submit a signed proposal form, prepared in accordance with attachment no. 1 to the Request for Proposals.</w:t>
      </w:r>
    </w:p>
    <w:p w14:paraId="4B4F87FB" w14:textId="77777777" w:rsidR="00D9115A" w:rsidRDefault="00790582">
      <w:pPr>
        <w:numPr>
          <w:ilvl w:val="0"/>
          <w:numId w:val="1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Notwithstanding the conditions indicated above, the contractor:</w:t>
      </w:r>
    </w:p>
    <w:p w14:paraId="4520785B" w14:textId="77777777" w:rsidR="00D9115A" w:rsidRDefault="00790582">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5" w:name="_heading=h.2s8eyo1" w:colFirst="0" w:colLast="0"/>
      <w:bookmarkEnd w:id="5"/>
      <w:r>
        <w:rPr>
          <w:rFonts w:ascii="Arial" w:eastAsia="Arial" w:hAnsi="Arial" w:cs="Arial"/>
          <w:color w:val="000000"/>
          <w:sz w:val="20"/>
          <w:szCs w:val="20"/>
        </w:rPr>
        <w:t xml:space="preserve">should have the authority to perform specific activities or activities, if the law imposes an obligation to have them;  </w:t>
      </w:r>
    </w:p>
    <w:p w14:paraId="09B6228A" w14:textId="77777777" w:rsidR="00D9115A" w:rsidRDefault="00790582">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have the necessary knowledge, experience and technical and human potential to perform the Order; </w:t>
      </w:r>
    </w:p>
    <w:p w14:paraId="2B57B5B1" w14:textId="77777777" w:rsidR="00D9115A" w:rsidRDefault="00790582">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should be in an economic and financial situation ensuring the performance of the Order; </w:t>
      </w:r>
    </w:p>
    <w:p w14:paraId="5EE20B8F" w14:textId="77777777" w:rsidR="00D9115A" w:rsidRDefault="00790582">
      <w:pPr>
        <w:numPr>
          <w:ilvl w:val="0"/>
          <w:numId w:val="13"/>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should not be in arrears with taxes, fees and social security contributions.</w:t>
      </w:r>
    </w:p>
    <w:p w14:paraId="20E258FF" w14:textId="77777777" w:rsidR="00D9115A" w:rsidRDefault="00790582">
      <w:pPr>
        <w:numPr>
          <w:ilvl w:val="0"/>
          <w:numId w:val="17"/>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Assessment of meeting the conditions for participation in the procedure will be based on the statements submitted by the contractor contained </w:t>
      </w:r>
      <w:r>
        <w:rPr>
          <w:rFonts w:ascii="Arial" w:eastAsia="Arial" w:hAnsi="Arial" w:cs="Arial"/>
          <w:b/>
          <w:color w:val="000000"/>
          <w:sz w:val="20"/>
          <w:szCs w:val="20"/>
        </w:rPr>
        <w:t>in Annex 1</w:t>
      </w:r>
      <w:r>
        <w:rPr>
          <w:rFonts w:ascii="Arial" w:eastAsia="Arial" w:hAnsi="Arial" w:cs="Arial"/>
          <w:color w:val="000000"/>
          <w:sz w:val="20"/>
          <w:szCs w:val="20"/>
        </w:rPr>
        <w:t xml:space="preserve"> to the Request for Proposals.</w:t>
      </w:r>
    </w:p>
    <w:p w14:paraId="267D05A1" w14:textId="77777777" w:rsidR="00D9115A" w:rsidRDefault="00790582">
      <w:pPr>
        <w:numPr>
          <w:ilvl w:val="0"/>
          <w:numId w:val="1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jointly apply for the contract. In such case:</w:t>
      </w:r>
    </w:p>
    <w:p w14:paraId="254DC6E9" w14:textId="77777777" w:rsidR="00D9115A" w:rsidRDefault="00790582">
      <w:pPr>
        <w:pBdr>
          <w:top w:val="nil"/>
          <w:left w:val="nil"/>
          <w:bottom w:val="nil"/>
          <w:right w:val="nil"/>
          <w:between w:val="nil"/>
        </w:pBdr>
        <w:spacing w:after="60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w:t>
      </w:r>
      <w:r>
        <w:rPr>
          <w:rFonts w:ascii="Arial" w:eastAsia="Arial" w:hAnsi="Arial" w:cs="Arial"/>
          <w:color w:val="000000"/>
          <w:sz w:val="20"/>
          <w:szCs w:val="20"/>
        </w:rPr>
        <w:lastRenderedPageBreak/>
        <w:t>activities / activities falling within the scope of the contract, their total technical or professional potential to perform the contract, as well as their total economic situation or financial.</w:t>
      </w:r>
    </w:p>
    <w:p w14:paraId="33D48ED2" w14:textId="77777777" w:rsidR="00D9115A" w:rsidRDefault="00790582">
      <w:pPr>
        <w:spacing w:after="120" w:line="360" w:lineRule="auto"/>
        <w:ind w:left="0" w:hanging="2"/>
        <w:rPr>
          <w:rFonts w:ascii="Arial" w:eastAsia="Arial" w:hAnsi="Arial" w:cs="Arial"/>
          <w:b/>
          <w:sz w:val="20"/>
          <w:szCs w:val="20"/>
        </w:rPr>
      </w:pPr>
      <w:r>
        <w:rPr>
          <w:rFonts w:ascii="Arial" w:eastAsia="Arial" w:hAnsi="Arial" w:cs="Arial"/>
          <w:b/>
          <w:sz w:val="20"/>
          <w:szCs w:val="20"/>
          <w:highlight w:val="lightGray"/>
        </w:rPr>
        <w:t>5.    Information on the scope of exclusion - related entities</w:t>
      </w:r>
    </w:p>
    <w:p w14:paraId="7C77CE46"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contract cannot be awarded to entities related to the Ordering Party. An affiliated contractor is an entity:</w:t>
      </w:r>
    </w:p>
    <w:p w14:paraId="1B315848"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6" w:name="_heading=h.17dp8vu" w:colFirst="0" w:colLast="0"/>
      <w:bookmarkEnd w:id="6"/>
      <w:r>
        <w:rPr>
          <w:rFonts w:ascii="Arial" w:eastAsia="Arial" w:hAnsi="Arial" w:cs="Arial"/>
          <w:color w:val="000000"/>
          <w:sz w:val="20"/>
          <w:szCs w:val="20"/>
        </w:rPr>
        <w:t>a. related or being a subsidiary, jointly controlled entity or parent in relation to the Ordering Party within the meaning of the Accounting Act of September 29, 1994;</w:t>
      </w:r>
    </w:p>
    <w:p w14:paraId="4F147794"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b. being an entity that remains with the Ordering Party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5F3C5629"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 being a related entity or partner entity in relation to the Ordering Party within the meaning of Regulation No. 651/2014;</w:t>
      </w:r>
    </w:p>
    <w:p w14:paraId="28C2443A" w14:textId="1C3980AB" w:rsidR="00D9115A" w:rsidRDefault="00790582">
      <w:p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 being an entity related personally to the </w:t>
      </w:r>
      <w:r w:rsidR="00430864">
        <w:rPr>
          <w:rFonts w:ascii="Arial" w:eastAsia="Arial" w:hAnsi="Arial" w:cs="Arial"/>
          <w:color w:val="000000"/>
          <w:sz w:val="20"/>
          <w:szCs w:val="20"/>
        </w:rPr>
        <w:t>Ordering Party</w:t>
      </w:r>
      <w:r>
        <w:rPr>
          <w:rFonts w:ascii="Arial" w:eastAsia="Arial" w:hAnsi="Arial" w:cs="Arial"/>
          <w:color w:val="000000"/>
          <w:sz w:val="20"/>
          <w:szCs w:val="20"/>
        </w:rPr>
        <w:t xml:space="preserve"> within the meaning of art. 32 section 2 of the Act of 11 March 2004 on tax on goods and services.</w:t>
      </w:r>
    </w:p>
    <w:p w14:paraId="3FC03D09" w14:textId="77777777" w:rsidR="00D9115A" w:rsidRDefault="00790582">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highlight w:val="lightGray"/>
        </w:rPr>
        <w:t>Requirements for documents submitted by Contractors:</w:t>
      </w:r>
    </w:p>
    <w:p w14:paraId="4CF2658D" w14:textId="77777777" w:rsidR="00D9115A" w:rsidRDefault="00790582">
      <w:pPr>
        <w:numPr>
          <w:ilvl w:val="0"/>
          <w:numId w:val="14"/>
        </w:numPr>
        <w:pBdr>
          <w:top w:val="nil"/>
          <w:left w:val="nil"/>
          <w:bottom w:val="nil"/>
          <w:right w:val="nil"/>
          <w:between w:val="nil"/>
        </w:pBdr>
        <w:spacing w:after="120" w:line="360" w:lineRule="auto"/>
        <w:ind w:left="0" w:hanging="2"/>
        <w:jc w:val="both"/>
        <w:rPr>
          <w:rFonts w:ascii="Arial" w:eastAsia="Arial" w:hAnsi="Arial" w:cs="Arial"/>
          <w:b/>
          <w:color w:val="000000"/>
          <w:sz w:val="20"/>
          <w:szCs w:val="20"/>
          <w:u w:val="single"/>
        </w:rPr>
      </w:pPr>
      <w:r>
        <w:rPr>
          <w:rFonts w:ascii="Arial" w:eastAsia="Arial" w:hAnsi="Arial" w:cs="Arial"/>
          <w:color w:val="000000"/>
          <w:sz w:val="20"/>
          <w:szCs w:val="20"/>
        </w:rPr>
        <w:t xml:space="preserve">The Ordering Party requires the Contractor applying for the award of the contract to submit, together with the offer and statements (prepared in accordance with annex 1 – proposal form), </w:t>
      </w:r>
      <w:r>
        <w:rPr>
          <w:rFonts w:ascii="Arial" w:eastAsia="Arial" w:hAnsi="Arial" w:cs="Arial"/>
          <w:b/>
          <w:color w:val="000000"/>
          <w:sz w:val="20"/>
          <w:szCs w:val="20"/>
        </w:rPr>
        <w:t>a document indicating persons authorized to represent the Contractor;</w:t>
      </w:r>
    </w:p>
    <w:p w14:paraId="0A2E9F8D" w14:textId="77777777" w:rsidR="00D9115A" w:rsidRDefault="00790582">
      <w:pPr>
        <w:numPr>
          <w:ilvl w:val="0"/>
          <w:numId w:val="14"/>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bookmarkStart w:id="7" w:name="_heading=h.3znysh7" w:colFirst="0" w:colLast="0"/>
      <w:bookmarkEnd w:id="7"/>
      <w:r>
        <w:rPr>
          <w:rFonts w:ascii="Arial" w:eastAsia="Arial" w:hAnsi="Arial" w:cs="Arial"/>
          <w:b/>
          <w:color w:val="000000"/>
          <w:sz w:val="20"/>
          <w:szCs w:val="20"/>
        </w:rPr>
        <w:t>The offer must be signed.</w:t>
      </w:r>
      <w:r>
        <w:rPr>
          <w:rFonts w:ascii="Arial" w:eastAsia="Arial" w:hAnsi="Arial" w:cs="Arial"/>
          <w:color w:val="000000"/>
          <w:sz w:val="20"/>
          <w:szCs w:val="2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identified; </w:t>
      </w:r>
    </w:p>
    <w:p w14:paraId="39ABA915" w14:textId="77777777" w:rsidR="00D9115A" w:rsidRDefault="00790582">
      <w:pPr>
        <w:numPr>
          <w:ilvl w:val="0"/>
          <w:numId w:val="14"/>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Signed proposal form and other required documents must be submitted in the form of the original, and in the case of submission of documents by electronic means - in the form of scans in PDF format. </w:t>
      </w:r>
      <w:r>
        <w:rPr>
          <w:rFonts w:ascii="Arial" w:eastAsia="Arial" w:hAnsi="Arial" w:cs="Arial"/>
          <w:b/>
          <w:color w:val="000000"/>
          <w:sz w:val="20"/>
          <w:szCs w:val="20"/>
        </w:rPr>
        <w:t>The offer in the form of a scan might be sent to an e-mail address provided in the ordinary form or provided with a secure electronic signature confirmed by a qualified certificate; other required documents may be submitted in the form of the original or a copy certified as true to the original by the Contracto</w:t>
      </w:r>
      <w:r>
        <w:rPr>
          <w:rFonts w:ascii="Arial" w:eastAsia="Arial" w:hAnsi="Arial" w:cs="Arial"/>
          <w:b/>
          <w:sz w:val="20"/>
          <w:szCs w:val="20"/>
        </w:rPr>
        <w:t>r</w:t>
      </w:r>
      <w:r>
        <w:rPr>
          <w:rFonts w:ascii="Arial" w:eastAsia="Arial" w:hAnsi="Arial" w:cs="Arial"/>
          <w:b/>
          <w:color w:val="000000"/>
          <w:sz w:val="20"/>
          <w:szCs w:val="20"/>
        </w:rPr>
        <w:t xml:space="preserve">, and in the case of submission of documents by electronic means in the form of scans in PDF format; in the case of signing documents or certifying compliance with the original of copies of documents by persons </w:t>
      </w:r>
      <w:r>
        <w:rPr>
          <w:rFonts w:ascii="Arial" w:eastAsia="Arial" w:hAnsi="Arial" w:cs="Arial"/>
          <w:b/>
          <w:color w:val="000000"/>
          <w:sz w:val="20"/>
          <w:szCs w:val="20"/>
        </w:rPr>
        <w:lastRenderedPageBreak/>
        <w:t xml:space="preserve">not mentioned in the Contractor's registration document, an appropriate power of attorney should be attached to the offer. </w:t>
      </w:r>
    </w:p>
    <w:p w14:paraId="098261B3" w14:textId="77777777" w:rsidR="00D9115A" w:rsidRDefault="00790582">
      <w:pPr>
        <w:numPr>
          <w:ilvl w:val="0"/>
          <w:numId w:val="14"/>
        </w:num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should be submitted in Polish or English in accordance with Annex 1, excerpt from the register or power of attorney is allowed in one of the official European languages, if the above-mentioned documents in another language - the contracting authority requires a document with a translation into one of the official European languages; for the avoidance of doubt, the Ordering Party allows the Contractors to submit all documents requiring a signature in accordance with the Request for Proposal in electronic form with a secure electronic signature confirmed by a valid qualified certificate.</w:t>
      </w:r>
    </w:p>
    <w:p w14:paraId="69EAC60C" w14:textId="77777777" w:rsidR="00D9115A" w:rsidRDefault="00790582">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EBCB923"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on behalf of the contractor; Contractors jointly applying for the contract are jointly and severally liable for the performance of the contract.</w:t>
      </w:r>
    </w:p>
    <w:p w14:paraId="59175A71" w14:textId="77777777" w:rsidR="00D9115A" w:rsidRDefault="00790582">
      <w:pPr>
        <w:numPr>
          <w:ilvl w:val="0"/>
          <w:numId w:val="14"/>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FF57C16" w14:textId="77777777" w:rsidR="00D9115A" w:rsidRDefault="00790582">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Criteria for evaluation of bids, information on point or percentage weights and a description of the method of awarding points for meeting a given bid evaluation criterion</w:t>
      </w:r>
    </w:p>
    <w:p w14:paraId="37A64C6E" w14:textId="77777777" w:rsidR="00D9115A" w:rsidRDefault="00790582">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Offers will be evaluated according to the price criterion:</w:t>
      </w:r>
    </w:p>
    <w:p w14:paraId="01CEFC4B" w14:textId="3FE375A7" w:rsidR="00D9115A" w:rsidRPr="00430864" w:rsidRDefault="00430864">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Net price of the </w:t>
      </w:r>
      <w:r w:rsidRPr="00430864">
        <w:rPr>
          <w:rFonts w:ascii="Arial" w:eastAsia="Arial" w:hAnsi="Arial" w:cs="Arial"/>
          <w:b/>
          <w:color w:val="000000"/>
          <w:sz w:val="20"/>
          <w:szCs w:val="20"/>
        </w:rPr>
        <w:t>offer</w:t>
      </w:r>
      <w:r w:rsidR="00790582" w:rsidRPr="00430864">
        <w:rPr>
          <w:rFonts w:ascii="Arial" w:eastAsia="Arial" w:hAnsi="Arial" w:cs="Arial"/>
          <w:color w:val="000000"/>
          <w:sz w:val="20"/>
          <w:szCs w:val="20"/>
        </w:rPr>
        <w:t xml:space="preserve"> – </w:t>
      </w:r>
      <w:r>
        <w:rPr>
          <w:rFonts w:ascii="Arial" w:eastAsia="Arial" w:hAnsi="Arial" w:cs="Arial"/>
          <w:color w:val="000000"/>
          <w:sz w:val="20"/>
          <w:szCs w:val="20"/>
        </w:rPr>
        <w:t>100 points (100%)</w:t>
      </w:r>
      <w:r w:rsidR="00200979">
        <w:rPr>
          <w:rFonts w:ascii="Arial" w:eastAsia="Arial" w:hAnsi="Arial" w:cs="Arial"/>
          <w:color w:val="000000"/>
          <w:sz w:val="20"/>
          <w:szCs w:val="20"/>
        </w:rPr>
        <w:t>.</w:t>
      </w:r>
    </w:p>
    <w:p w14:paraId="7CB18509"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method of calculating the criterion value in the scope of the offer price:</w:t>
      </w:r>
    </w:p>
    <w:p w14:paraId="4149A887" w14:textId="5C22D8C9"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Points for the examined offer = (lowest net price for performance of the subject of the contract / net price for performance of the subject of the order </w:t>
      </w:r>
      <w:r w:rsidR="00200979">
        <w:rPr>
          <w:rFonts w:ascii="Arial" w:eastAsia="Arial" w:hAnsi="Arial" w:cs="Arial"/>
          <w:color w:val="000000"/>
          <w:sz w:val="20"/>
          <w:szCs w:val="20"/>
        </w:rPr>
        <w:t>of</w:t>
      </w:r>
      <w:r>
        <w:rPr>
          <w:rFonts w:ascii="Arial" w:eastAsia="Arial" w:hAnsi="Arial" w:cs="Arial"/>
          <w:color w:val="000000"/>
          <w:sz w:val="20"/>
          <w:szCs w:val="20"/>
        </w:rPr>
        <w:t xml:space="preserve"> the examined offer) x 100.</w:t>
      </w:r>
    </w:p>
    <w:p w14:paraId="41D30FFF"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point.</w:t>
      </w:r>
    </w:p>
    <w:p w14:paraId="59197204"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maximum number of points to be obtained in this criterion is 100. </w:t>
      </w:r>
    </w:p>
    <w:p w14:paraId="4037EF20" w14:textId="77777777" w:rsidR="00D9115A" w:rsidRDefault="00790582">
      <w:pPr>
        <w:numPr>
          <w:ilvl w:val="0"/>
          <w:numId w:val="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The highest total number of points obtained (max. 100 points = 100%) will decide on the selection of the best offer. Calculations will be made to two decimal places (rounded from "5" up). Other offers receive further deposits.</w:t>
      </w:r>
    </w:p>
    <w:p w14:paraId="3CDD7924" w14:textId="77777777" w:rsidR="00D9115A" w:rsidRDefault="00790582">
      <w:pPr>
        <w:numPr>
          <w:ilvl w:val="0"/>
          <w:numId w:val="1"/>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 </w:t>
      </w:r>
    </w:p>
    <w:p w14:paraId="177D1DBE" w14:textId="77777777" w:rsidR="00D9115A" w:rsidRDefault="00790582">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Submission deadline</w:t>
      </w:r>
    </w:p>
    <w:p w14:paraId="35EAB653" w14:textId="4922F72D" w:rsidR="00D9115A" w:rsidRDefault="00790582">
      <w:p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bookmarkStart w:id="8" w:name="_heading=h.3rdcrjn" w:colFirst="0" w:colLast="0"/>
      <w:bookmarkEnd w:id="8"/>
      <w:r>
        <w:rPr>
          <w:rFonts w:ascii="Arial" w:eastAsia="Arial" w:hAnsi="Arial" w:cs="Arial"/>
          <w:color w:val="000000"/>
          <w:sz w:val="20"/>
          <w:szCs w:val="20"/>
        </w:rPr>
        <w:t xml:space="preserve">1. The offer should be submitted by: </w:t>
      </w:r>
      <w:r>
        <w:rPr>
          <w:rFonts w:ascii="Arial" w:eastAsia="Arial" w:hAnsi="Arial" w:cs="Arial"/>
          <w:b/>
          <w:color w:val="000000"/>
          <w:sz w:val="20"/>
          <w:szCs w:val="20"/>
        </w:rPr>
        <w:t>2</w:t>
      </w:r>
      <w:r w:rsidR="00200979">
        <w:rPr>
          <w:rFonts w:ascii="Arial" w:eastAsia="Arial" w:hAnsi="Arial" w:cs="Arial"/>
          <w:b/>
          <w:color w:val="000000"/>
          <w:sz w:val="20"/>
          <w:szCs w:val="20"/>
        </w:rPr>
        <w:t>0</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A</w:t>
      </w:r>
      <w:r w:rsidR="00200979">
        <w:rPr>
          <w:rFonts w:ascii="Arial" w:eastAsia="Arial" w:hAnsi="Arial" w:cs="Arial"/>
          <w:b/>
          <w:color w:val="000000"/>
          <w:sz w:val="20"/>
          <w:szCs w:val="20"/>
        </w:rPr>
        <w:t>ugust</w:t>
      </w:r>
      <w:r>
        <w:rPr>
          <w:rFonts w:ascii="Arial" w:eastAsia="Arial" w:hAnsi="Arial" w:cs="Arial"/>
          <w:b/>
          <w:color w:val="000000"/>
          <w:sz w:val="20"/>
          <w:szCs w:val="20"/>
        </w:rPr>
        <w:t xml:space="preserve"> 2021</w:t>
      </w:r>
    </w:p>
    <w:p w14:paraId="08615FC1" w14:textId="5235D31B" w:rsidR="00D9115A" w:rsidRDefault="00790582">
      <w:pPr>
        <w:pBdr>
          <w:top w:val="nil"/>
          <w:left w:val="nil"/>
          <w:bottom w:val="nil"/>
          <w:right w:val="nil"/>
          <w:between w:val="nil"/>
        </w:pBdr>
        <w:spacing w:after="240"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2. The contractor should be bound by the submitted offer for a period of at least </w:t>
      </w:r>
      <w:r w:rsidR="00200979">
        <w:rPr>
          <w:rFonts w:ascii="Arial" w:eastAsia="Arial" w:hAnsi="Arial" w:cs="Arial"/>
          <w:color w:val="000000"/>
          <w:sz w:val="20"/>
          <w:szCs w:val="20"/>
        </w:rPr>
        <w:t>3</w:t>
      </w:r>
      <w:r>
        <w:rPr>
          <w:rFonts w:ascii="Arial" w:eastAsia="Arial" w:hAnsi="Arial" w:cs="Arial"/>
          <w:color w:val="000000"/>
          <w:sz w:val="20"/>
          <w:szCs w:val="20"/>
        </w:rPr>
        <w:t>0 days. The offer validity period begins with</w:t>
      </w:r>
      <w:r w:rsidR="00200979">
        <w:rPr>
          <w:rFonts w:ascii="Arial" w:eastAsia="Arial" w:hAnsi="Arial" w:cs="Arial"/>
          <w:color w:val="000000"/>
          <w:sz w:val="20"/>
          <w:szCs w:val="20"/>
        </w:rPr>
        <w:t xml:space="preserve"> expiry of</w:t>
      </w:r>
      <w:r>
        <w:rPr>
          <w:rFonts w:ascii="Arial" w:eastAsia="Arial" w:hAnsi="Arial" w:cs="Arial"/>
          <w:color w:val="000000"/>
          <w:sz w:val="20"/>
          <w:szCs w:val="20"/>
        </w:rPr>
        <w:t xml:space="preserve"> the submission deadline.</w:t>
      </w:r>
    </w:p>
    <w:p w14:paraId="1AA31B2C" w14:textId="77777777" w:rsidR="00D9115A" w:rsidRDefault="00790582">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Price calculation and offer preparation</w:t>
      </w:r>
    </w:p>
    <w:p w14:paraId="7E563954" w14:textId="77777777" w:rsidR="00D9115A" w:rsidRDefault="00790582">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Price calculation method:</w:t>
      </w:r>
    </w:p>
    <w:p w14:paraId="4CE23D42"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Contractor in the offer should offer a </w:t>
      </w:r>
      <w:r>
        <w:rPr>
          <w:rFonts w:ascii="Arial" w:eastAsia="Arial" w:hAnsi="Arial" w:cs="Arial"/>
          <w:b/>
          <w:color w:val="000000"/>
          <w:sz w:val="20"/>
          <w:szCs w:val="20"/>
        </w:rPr>
        <w:t xml:space="preserve">complete price, including the total cost of the service, including all price-generating elements related to the performance of the contract. </w:t>
      </w:r>
      <w:r>
        <w:rPr>
          <w:rFonts w:ascii="Arial" w:eastAsia="Arial" w:hAnsi="Arial" w:cs="Arial"/>
          <w:b/>
          <w:color w:val="000000"/>
          <w:sz w:val="20"/>
          <w:szCs w:val="20"/>
          <w:u w:val="single"/>
        </w:rPr>
        <w:t>Transport is on the side of the Ordering Party.</w:t>
      </w:r>
    </w:p>
    <w:p w14:paraId="1E54DCA1" w14:textId="77777777" w:rsidR="00D9115A" w:rsidRDefault="00790582">
      <w:pPr>
        <w:numPr>
          <w:ilvl w:val="0"/>
          <w:numId w:val="6"/>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requires the Contractor to express the price of the offer in Polish zlotys (PLN) or in euros (EUR).</w:t>
      </w:r>
    </w:p>
    <w:p w14:paraId="38A0C330" w14:textId="77777777" w:rsidR="00D9115A" w:rsidRDefault="00790582">
      <w:pPr>
        <w:numPr>
          <w:ilvl w:val="0"/>
          <w:numId w:val="6"/>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case of Contractors who express the price of an offer in a currency other than PLN, for the purposes of selecting the offer, the Ordering Party may convert the given amounts of currency at the average exchange rate announced by the National Bank of Poland on the day of opening the offers. In the absence of a publication of the exchange rate by the National Bank of Poland on the day referred to above, the Ordering Party shall apply the last exchange rate announced by the National Bank of Poland before that day. The exchange rate risk is borne by the Employer.</w:t>
      </w:r>
    </w:p>
    <w:p w14:paraId="0A6CD2D8" w14:textId="24617CD0" w:rsidR="00D9115A" w:rsidRDefault="00790582">
      <w:pPr>
        <w:numPr>
          <w:ilvl w:val="0"/>
          <w:numId w:val="6"/>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w:t>
      </w:r>
      <w:r w:rsidR="00200979">
        <w:rPr>
          <w:rFonts w:ascii="Arial" w:eastAsia="Arial" w:hAnsi="Arial" w:cs="Arial"/>
          <w:color w:val="000000"/>
          <w:sz w:val="20"/>
          <w:szCs w:val="20"/>
        </w:rPr>
        <w:t>VAT</w:t>
      </w:r>
      <w:r>
        <w:rPr>
          <w:rFonts w:ascii="Arial" w:eastAsia="Arial" w:hAnsi="Arial" w:cs="Arial"/>
          <w:color w:val="000000"/>
          <w:sz w:val="20"/>
          <w:szCs w:val="20"/>
        </w:rPr>
        <w:t>) and all other costs of any nature that may arise in connection with the implementation of the subject of the contract. The price must be expressed to two decimal places, according to the Polish payment system.</w:t>
      </w:r>
    </w:p>
    <w:p w14:paraId="0BE16A1C" w14:textId="77777777" w:rsidR="00D9115A" w:rsidRDefault="00790582">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Proposal form is attached as Annex 1 to the Request for Proposals. The Ordering Party requires the Contractor to submit an offer using proposal form. The proposal form should contain the following attachments:</w:t>
      </w:r>
    </w:p>
    <w:p w14:paraId="61B06C24"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 xml:space="preserve">excerpt from the Contractor's National Court Register / Extract from the Contractor's CEIDG / other registration document appropriate for the Contractor indicating persons authorized to represent the Contractor; power of attorney if the offer is submitted by a proxy; </w:t>
      </w:r>
    </w:p>
    <w:p w14:paraId="48319538" w14:textId="77777777" w:rsidR="00D9115A" w:rsidRDefault="00790582">
      <w:pPr>
        <w:numPr>
          <w:ilvl w:val="0"/>
          <w:numId w:val="6"/>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offer should be submitted: 1) in writing at the seat of the Employer: VIGO System </w:t>
      </w:r>
      <w:proofErr w:type="spellStart"/>
      <w:r>
        <w:rPr>
          <w:rFonts w:ascii="Arial" w:eastAsia="Arial" w:hAnsi="Arial" w:cs="Arial"/>
          <w:color w:val="000000"/>
          <w:sz w:val="20"/>
          <w:szCs w:val="20"/>
        </w:rPr>
        <w:t>Spółka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Akcyjna</w:t>
      </w:r>
      <w:proofErr w:type="spellEnd"/>
      <w:r>
        <w:rPr>
          <w:rFonts w:ascii="Arial" w:eastAsia="Arial" w:hAnsi="Arial" w:cs="Arial"/>
          <w:color w:val="000000"/>
          <w:sz w:val="20"/>
          <w:szCs w:val="20"/>
        </w:rPr>
        <w:t xml:space="preserve">, ul. </w:t>
      </w:r>
      <w:proofErr w:type="spellStart"/>
      <w:r>
        <w:rPr>
          <w:rFonts w:ascii="Arial" w:eastAsia="Arial" w:hAnsi="Arial" w:cs="Arial"/>
          <w:color w:val="000000"/>
          <w:sz w:val="20"/>
          <w:szCs w:val="20"/>
        </w:rPr>
        <w:t>Poznańska</w:t>
      </w:r>
      <w:proofErr w:type="spellEnd"/>
      <w:r>
        <w:rPr>
          <w:rFonts w:ascii="Arial" w:eastAsia="Arial" w:hAnsi="Arial" w:cs="Arial"/>
          <w:color w:val="000000"/>
          <w:sz w:val="20"/>
          <w:szCs w:val="20"/>
        </w:rPr>
        <w:t xml:space="preserve"> 129/133, 05-850 </w:t>
      </w:r>
      <w:proofErr w:type="spellStart"/>
      <w:r>
        <w:rPr>
          <w:rFonts w:ascii="Arial" w:eastAsia="Arial" w:hAnsi="Arial" w:cs="Arial"/>
          <w:color w:val="000000"/>
          <w:sz w:val="20"/>
          <w:szCs w:val="20"/>
        </w:rPr>
        <w:t>Ożarów</w:t>
      </w:r>
      <w:proofErr w:type="spellEnd"/>
      <w:r>
        <w:rPr>
          <w:rFonts w:ascii="Arial" w:eastAsia="Arial" w:hAnsi="Arial" w:cs="Arial"/>
          <w:color w:val="000000"/>
          <w:sz w:val="20"/>
          <w:szCs w:val="20"/>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 </w:t>
      </w:r>
    </w:p>
    <w:p w14:paraId="31364DA7" w14:textId="77777777" w:rsidR="00D9115A" w:rsidRDefault="00790582">
      <w:pPr>
        <w:numPr>
          <w:ilvl w:val="0"/>
          <w:numId w:val="15"/>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bookmarkStart w:id="9" w:name="_heading=h.26in1rg" w:colFirst="0" w:colLast="0"/>
      <w:bookmarkEnd w:id="9"/>
      <w:r>
        <w:rPr>
          <w:rFonts w:ascii="Arial" w:eastAsia="Arial" w:hAnsi="Arial" w:cs="Arial"/>
          <w:b/>
          <w:color w:val="000000"/>
          <w:sz w:val="20"/>
          <w:szCs w:val="20"/>
          <w:highlight w:val="lightGray"/>
        </w:rPr>
        <w:t>Examination of the offers</w:t>
      </w:r>
    </w:p>
    <w:p w14:paraId="0B4DBE03" w14:textId="77777777" w:rsidR="00D9115A" w:rsidRDefault="00790582">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Contractor may change or withdraw his offer before the deadline for submission of bids. </w:t>
      </w:r>
    </w:p>
    <w:p w14:paraId="407F315C"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In the course of examination and evaluation of bids, the Ordering Party may:</w:t>
      </w:r>
    </w:p>
    <w:p w14:paraId="6A958012"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a. require the Contractor to provide explanations regarding the content of the offer</w:t>
      </w:r>
    </w:p>
    <w:p w14:paraId="045F10BA"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within the prescribed period;</w:t>
      </w:r>
    </w:p>
    <w:p w14:paraId="4E116F69"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b. require the Contractor to supplement the shortcomings of the offer within the prescribed period;</w:t>
      </w:r>
    </w:p>
    <w:p w14:paraId="0DEBDFB2"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 correct obvious typing or calculation errors and other errors that do not cause significant changes in the content of the offer, notifying the contractor thereof.</w:t>
      </w:r>
    </w:p>
    <w:p w14:paraId="2CF16D42"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4F93C4A" w14:textId="77777777" w:rsidR="00D9115A" w:rsidRDefault="00790582">
      <w:pPr>
        <w:numPr>
          <w:ilvl w:val="0"/>
          <w:numId w:val="7"/>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Ordering Party excludes a contractor who does not meet the conditions for participation in the procurement procedure. </w:t>
      </w:r>
    </w:p>
    <w:p w14:paraId="288ACF61" w14:textId="77777777" w:rsidR="00D9115A" w:rsidRDefault="00790582">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rejects the Contractor's bid if:</w:t>
      </w:r>
    </w:p>
    <w:p w14:paraId="704296AD" w14:textId="77777777" w:rsidR="00D9115A" w:rsidRDefault="00790582">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its content does not correspond to the content of the request for proposal;</w:t>
      </w:r>
    </w:p>
    <w:p w14:paraId="459B4DE7" w14:textId="77777777" w:rsidR="00D9115A" w:rsidRDefault="00790582">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price calculation errors that cannot be removed;</w:t>
      </w:r>
    </w:p>
    <w:p w14:paraId="720875D9" w14:textId="77777777" w:rsidR="00D9115A" w:rsidRDefault="00790582">
      <w:pPr>
        <w:numPr>
          <w:ilvl w:val="0"/>
          <w:numId w:val="2"/>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contains an abnormally low price in relation to the subject of the Order;</w:t>
      </w:r>
    </w:p>
    <w:p w14:paraId="499E0B5B" w14:textId="77777777" w:rsidR="00D9115A" w:rsidRDefault="00790582">
      <w:pPr>
        <w:numPr>
          <w:ilvl w:val="0"/>
          <w:numId w:val="2"/>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the contractor has submitted more than one offer. </w:t>
      </w:r>
    </w:p>
    <w:p w14:paraId="4F266FE9" w14:textId="77777777" w:rsidR="00D9115A" w:rsidRDefault="00790582">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Contractors may ask questions to clarify doubts regarding the terms of the contract award procedure.</w:t>
      </w:r>
    </w:p>
    <w:p w14:paraId="10A00CEC" w14:textId="77777777" w:rsidR="00D9115A" w:rsidRDefault="00790582">
      <w:pPr>
        <w:numPr>
          <w:ilvl w:val="0"/>
          <w:numId w:val="7"/>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shall assess only those offers, which will reach the Ordering Party in the period from the date of announcement of this request for proposals until the expiry of the deadline for submission of offers. Offers submitted after this deadline will not be considered.</w:t>
      </w:r>
    </w:p>
    <w:p w14:paraId="671C73F4" w14:textId="77777777" w:rsidR="00D9115A" w:rsidRDefault="00790582">
      <w:pPr>
        <w:numPr>
          <w:ilvl w:val="0"/>
          <w:numId w:val="15"/>
        </w:numPr>
        <w:pBdr>
          <w:top w:val="nil"/>
          <w:left w:val="nil"/>
          <w:bottom w:val="nil"/>
          <w:right w:val="nil"/>
          <w:between w:val="nil"/>
        </w:pBdr>
        <w:spacing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Contact persons</w:t>
      </w:r>
    </w:p>
    <w:p w14:paraId="499936A6"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Contact persons on the part of the Ordering Party are:</w:t>
      </w:r>
    </w:p>
    <w:p w14:paraId="15D2646F" w14:textId="1427CFA8"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procedural matters: </w:t>
      </w:r>
      <w:r w:rsidR="00200979">
        <w:rPr>
          <w:rFonts w:ascii="Arial" w:eastAsia="Arial" w:hAnsi="Arial" w:cs="Arial"/>
          <w:color w:val="000000"/>
          <w:sz w:val="20"/>
          <w:szCs w:val="20"/>
        </w:rPr>
        <w:t>Klaudia</w:t>
      </w:r>
      <w:r>
        <w:rPr>
          <w:rFonts w:ascii="Arial" w:eastAsia="Arial" w:hAnsi="Arial" w:cs="Arial"/>
          <w:color w:val="000000"/>
          <w:sz w:val="20"/>
          <w:szCs w:val="20"/>
        </w:rPr>
        <w:t xml:space="preserve"> </w:t>
      </w:r>
      <w:r w:rsidR="00200979">
        <w:rPr>
          <w:rFonts w:ascii="Arial" w:eastAsia="Arial" w:hAnsi="Arial" w:cs="Arial"/>
          <w:color w:val="000000"/>
          <w:sz w:val="20"/>
          <w:szCs w:val="20"/>
        </w:rPr>
        <w:t>Jachimowicz</w:t>
      </w:r>
      <w:r>
        <w:rPr>
          <w:rFonts w:ascii="Arial" w:eastAsia="Arial" w:hAnsi="Arial" w:cs="Arial"/>
          <w:color w:val="000000"/>
          <w:sz w:val="20"/>
          <w:szCs w:val="20"/>
        </w:rPr>
        <w:t xml:space="preserve">, e-mail: </w:t>
      </w:r>
      <w:hyperlink r:id="rId8" w:history="1">
        <w:r w:rsidR="00200979" w:rsidRPr="00FD0C0E">
          <w:rPr>
            <w:rStyle w:val="Hipercze"/>
            <w:rFonts w:ascii="Arial" w:eastAsia="Arial" w:hAnsi="Arial" w:cs="Arial"/>
            <w:sz w:val="20"/>
            <w:szCs w:val="20"/>
          </w:rPr>
          <w:t>kjachimowicz@vigo.com.pl</w:t>
        </w:r>
      </w:hyperlink>
      <w:r>
        <w:rPr>
          <w:rFonts w:ascii="Arial" w:eastAsia="Arial" w:hAnsi="Arial" w:cs="Arial"/>
          <w:color w:val="000000"/>
          <w:sz w:val="20"/>
          <w:szCs w:val="20"/>
        </w:rPr>
        <w:t xml:space="preserve">; </w:t>
      </w:r>
    </w:p>
    <w:p w14:paraId="4363BFE7" w14:textId="77777777" w:rsidR="00D9115A" w:rsidRDefault="00790582" w:rsidP="00200979">
      <w:pPr>
        <w:pBdr>
          <w:top w:val="nil"/>
          <w:left w:val="nil"/>
          <w:bottom w:val="nil"/>
          <w:right w:val="nil"/>
          <w:between w:val="nil"/>
        </w:pBdr>
        <w:spacing w:after="3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technical matters: Iwona Pasternak, email: </w:t>
      </w:r>
      <w:hyperlink r:id="rId9">
        <w:r>
          <w:rPr>
            <w:rFonts w:ascii="Arial" w:eastAsia="Arial" w:hAnsi="Arial" w:cs="Arial"/>
            <w:color w:val="0000FF"/>
            <w:sz w:val="20"/>
            <w:szCs w:val="20"/>
            <w:u w:val="single"/>
          </w:rPr>
          <w:t>ipasternak@vigo.com.pl</w:t>
        </w:r>
      </w:hyperlink>
      <w:r>
        <w:rPr>
          <w:rFonts w:ascii="Arial" w:eastAsia="Arial" w:hAnsi="Arial" w:cs="Arial"/>
          <w:color w:val="000000"/>
          <w:sz w:val="20"/>
          <w:szCs w:val="20"/>
        </w:rPr>
        <w:t xml:space="preserve">;  </w:t>
      </w:r>
    </w:p>
    <w:p w14:paraId="17883D94" w14:textId="77777777" w:rsidR="00D9115A" w:rsidRDefault="00790582" w:rsidP="00200979">
      <w:pPr>
        <w:numPr>
          <w:ilvl w:val="0"/>
          <w:numId w:val="15"/>
        </w:numPr>
        <w:pBdr>
          <w:top w:val="nil"/>
          <w:left w:val="nil"/>
          <w:bottom w:val="nil"/>
          <w:right w:val="nil"/>
          <w:between w:val="nil"/>
        </w:pBdr>
        <w:spacing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Information on the selection of the best offer</w:t>
      </w:r>
    </w:p>
    <w:p w14:paraId="60AF206B" w14:textId="77777777" w:rsidR="00D9115A" w:rsidRDefault="00790582">
      <w:pPr>
        <w:numPr>
          <w:ilvl w:val="0"/>
          <w:numId w:val="8"/>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reserves the right to start negotiations with Contractors whose bids have been properly submitted during the procedure. Negotiations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14:paraId="397B97EA" w14:textId="77777777" w:rsidR="00D9115A" w:rsidRDefault="00790582">
      <w:pPr>
        <w:numPr>
          <w:ilvl w:val="0"/>
          <w:numId w:val="8"/>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opening and evaluation of tenders will take place on the day of the tender submission deadline.</w:t>
      </w:r>
    </w:p>
    <w:p w14:paraId="557FCD30" w14:textId="77777777" w:rsidR="00D9115A" w:rsidRDefault="00790582">
      <w:pPr>
        <w:numPr>
          <w:ilvl w:val="0"/>
          <w:numId w:val="8"/>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Ordering Party may close the order award procedure without selecting any offer.</w:t>
      </w:r>
    </w:p>
    <w:p w14:paraId="22EF9AD5" w14:textId="77777777" w:rsidR="00D9115A" w:rsidRDefault="00790582">
      <w:pPr>
        <w:numPr>
          <w:ilvl w:val="0"/>
          <w:numId w:val="8"/>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Ordering Party shall notify the Contractors of the selection of the most advantageous offer, or of closing the procedure for awarding the Order without selecting any offer. The notification will be made in the manner provided for making this request for proposals public by announcement on the website </w:t>
      </w:r>
      <w:hyperlink r:id="rId10">
        <w:r>
          <w:rPr>
            <w:rFonts w:ascii="Arial" w:eastAsia="Arial" w:hAnsi="Arial" w:cs="Arial"/>
            <w:color w:val="0000FF"/>
            <w:sz w:val="20"/>
            <w:szCs w:val="20"/>
            <w:u w:val="single"/>
          </w:rPr>
          <w:t>https://vigo.com.pl/o-nas/zamowienia/</w:t>
        </w:r>
      </w:hyperlink>
      <w:r>
        <w:rPr>
          <w:rFonts w:ascii="Arial" w:eastAsia="Arial" w:hAnsi="Arial" w:cs="Arial"/>
          <w:color w:val="000000"/>
          <w:sz w:val="20"/>
          <w:szCs w:val="20"/>
        </w:rPr>
        <w:t xml:space="preserve">. </w:t>
      </w:r>
    </w:p>
    <w:p w14:paraId="5D13A289"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highlight w:val="lightGray"/>
          <w:u w:val="single"/>
        </w:rPr>
        <w:t>13. Relevant terms and conditions</w:t>
      </w:r>
    </w:p>
    <w:p w14:paraId="554F54B5" w14:textId="29C5FEFD" w:rsidR="00D9115A" w:rsidRDefault="00790582">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The service must comply with the specification contained in request of proposal</w:t>
      </w:r>
      <w:r w:rsidR="00200979">
        <w:rPr>
          <w:rFonts w:ascii="Arial" w:eastAsia="Arial" w:hAnsi="Arial" w:cs="Arial"/>
          <w:color w:val="000000"/>
          <w:sz w:val="20"/>
          <w:szCs w:val="20"/>
        </w:rPr>
        <w:t>s</w:t>
      </w:r>
      <w:r>
        <w:rPr>
          <w:rFonts w:ascii="Arial" w:eastAsia="Arial" w:hAnsi="Arial" w:cs="Arial"/>
          <w:color w:val="000000"/>
          <w:sz w:val="20"/>
          <w:szCs w:val="20"/>
        </w:rPr>
        <w:t>.</w:t>
      </w:r>
    </w:p>
    <w:p w14:paraId="5F719605"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Payment for the delivered services is made on the basis of an invoice delivered to the e-mail address: invoices@vigo.com.pl after the positive receipt of the goods. Payment will be made within 30 days of the invoice being delivered.</w:t>
      </w:r>
    </w:p>
    <w:p w14:paraId="239517BB"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3. The Contractor, whose offer will be chosen by the Ordering Party as the most advantageous, is obliged to proceed with implementation within 30 days from the date of the offer selection announcement.</w:t>
      </w:r>
    </w:p>
    <w:p w14:paraId="29BC3993"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5. If the Contractor whose offer has been selected will refrain from completing the contract within the above deadline, the Ordering Party will choose the most advantageous offer among the remaining offers.</w:t>
      </w:r>
    </w:p>
    <w:p w14:paraId="34F991AC" w14:textId="77777777" w:rsidR="00D9115A" w:rsidRDefault="00D9115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65564215" w14:textId="77777777" w:rsidR="00D9115A" w:rsidRDefault="00790582">
      <w:pPr>
        <w:numPr>
          <w:ilvl w:val="0"/>
          <w:numId w:val="18"/>
        </w:numPr>
        <w:pBdr>
          <w:top w:val="nil"/>
          <w:left w:val="nil"/>
          <w:bottom w:val="nil"/>
          <w:right w:val="nil"/>
          <w:between w:val="nil"/>
        </w:pBdr>
        <w:spacing w:after="120" w:line="360" w:lineRule="auto"/>
        <w:ind w:left="0" w:hanging="2"/>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Final provisions</w:t>
      </w:r>
    </w:p>
    <w:p w14:paraId="39320E39" w14:textId="6822B7D5" w:rsidR="00D9115A" w:rsidRDefault="00790582">
      <w:pPr>
        <w:numPr>
          <w:ilvl w:val="0"/>
          <w:numId w:val="9"/>
        </w:num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Ordering Party reserves the right to cancel the Request for </w:t>
      </w:r>
      <w:r w:rsidR="00200979">
        <w:rPr>
          <w:rFonts w:ascii="Arial" w:eastAsia="Arial" w:hAnsi="Arial" w:cs="Arial"/>
          <w:color w:val="000000"/>
          <w:sz w:val="20"/>
          <w:szCs w:val="20"/>
        </w:rPr>
        <w:t>Proposals</w:t>
      </w:r>
      <w:r>
        <w:rPr>
          <w:rFonts w:ascii="Arial" w:eastAsia="Arial" w:hAnsi="Arial" w:cs="Arial"/>
          <w:color w:val="000000"/>
          <w:sz w:val="20"/>
          <w:szCs w:val="20"/>
        </w:rPr>
        <w:t xml:space="preserve"> at any time, without giving a reason.</w:t>
      </w:r>
    </w:p>
    <w:p w14:paraId="50587E71" w14:textId="77777777" w:rsidR="00D9115A" w:rsidRDefault="00790582">
      <w:pPr>
        <w:numPr>
          <w:ilvl w:val="0"/>
          <w:numId w:val="9"/>
        </w:numPr>
        <w:pBdr>
          <w:top w:val="nil"/>
          <w:left w:val="nil"/>
          <w:bottom w:val="nil"/>
          <w:right w:val="nil"/>
          <w:between w:val="nil"/>
        </w:pBdr>
        <w:spacing w:after="24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Ordering Party may at any time revoke or change the content of this Request for Proposals without giving a reason. If the changes affect the content of offers submitted in the course of the procedure, the Ordering Party will extend the deadline for </w:t>
      </w:r>
      <w:bookmarkStart w:id="10" w:name="_GoBack"/>
      <w:bookmarkEnd w:id="10"/>
      <w:r>
        <w:rPr>
          <w:rFonts w:ascii="Arial" w:eastAsia="Arial" w:hAnsi="Arial" w:cs="Arial"/>
          <w:color w:val="000000"/>
          <w:sz w:val="20"/>
          <w:szCs w:val="20"/>
        </w:rPr>
        <w:t>submitting offers.</w:t>
      </w:r>
    </w:p>
    <w:p w14:paraId="6DF797CE" w14:textId="77777777" w:rsidR="00D9115A" w:rsidRDefault="00790582">
      <w:pPr>
        <w:pBdr>
          <w:top w:val="nil"/>
          <w:left w:val="nil"/>
          <w:bottom w:val="nil"/>
          <w:right w:val="nil"/>
          <w:between w:val="nil"/>
        </w:pBdr>
        <w:spacing w:after="120" w:line="36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Attachments</w:t>
      </w:r>
    </w:p>
    <w:p w14:paraId="4E87A31C"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following documents are attached to this request for quotation:</w:t>
      </w:r>
    </w:p>
    <w:p w14:paraId="44894AF4" w14:textId="77777777" w:rsidR="00D9115A" w:rsidRDefault="00790582">
      <w:p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11" w:name="_heading=h.gjdgxs" w:colFirst="0" w:colLast="0"/>
      <w:bookmarkEnd w:id="11"/>
      <w:r>
        <w:rPr>
          <w:rFonts w:ascii="Arial" w:eastAsia="Arial" w:hAnsi="Arial" w:cs="Arial"/>
          <w:color w:val="000000"/>
          <w:sz w:val="20"/>
          <w:szCs w:val="20"/>
        </w:rPr>
        <w:t>annex no. 1 – proposal form.</w:t>
      </w:r>
    </w:p>
    <w:sectPr w:rsidR="00D9115A">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3569" w14:textId="77777777" w:rsidR="00F51D53" w:rsidRDefault="00F51D53">
      <w:pPr>
        <w:spacing w:line="240" w:lineRule="auto"/>
        <w:ind w:left="0" w:hanging="2"/>
      </w:pPr>
      <w:r>
        <w:separator/>
      </w:r>
    </w:p>
  </w:endnote>
  <w:endnote w:type="continuationSeparator" w:id="0">
    <w:p w14:paraId="0B9E9E04" w14:textId="77777777" w:rsidR="00F51D53" w:rsidRDefault="00F51D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179F" w14:textId="77777777" w:rsidR="00D9115A" w:rsidRDefault="00D9115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6A42" w14:textId="77777777" w:rsidR="00D9115A" w:rsidRDefault="0079058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4B0523">
      <w:rPr>
        <w:noProof/>
        <w:color w:val="000000"/>
      </w:rPr>
      <w:t>1</w:t>
    </w:r>
    <w:r>
      <w:rPr>
        <w:color w:val="000000"/>
      </w:rPr>
      <w:fldChar w:fldCharType="end"/>
    </w:r>
  </w:p>
  <w:p w14:paraId="76E235B2" w14:textId="77777777" w:rsidR="00D9115A" w:rsidRDefault="00D9115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16D2" w14:textId="77777777" w:rsidR="00D9115A" w:rsidRDefault="00D9115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53C52AD" w14:textId="77777777" w:rsidR="00D9115A" w:rsidRDefault="00D9115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1D02" w14:textId="77777777" w:rsidR="00F51D53" w:rsidRDefault="00F51D53">
      <w:pPr>
        <w:spacing w:line="240" w:lineRule="auto"/>
        <w:ind w:left="0" w:hanging="2"/>
      </w:pPr>
      <w:r>
        <w:separator/>
      </w:r>
    </w:p>
  </w:footnote>
  <w:footnote w:type="continuationSeparator" w:id="0">
    <w:p w14:paraId="229A45A1" w14:textId="77777777" w:rsidR="00F51D53" w:rsidRDefault="00F51D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7F89" w14:textId="77777777" w:rsidR="00D9115A" w:rsidRDefault="00D9115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B76A" w14:textId="77777777" w:rsidR="00D9115A" w:rsidRDefault="0079058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364A3B24" wp14:editId="58CB9B2F">
          <wp:extent cx="5391785" cy="106108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1DCF" w14:textId="77777777" w:rsidR="00D9115A" w:rsidRDefault="00D9115A">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9115A" w14:paraId="6E09962C" w14:textId="77777777">
      <w:trPr>
        <w:trHeight w:val="840"/>
      </w:trPr>
      <w:tc>
        <w:tcPr>
          <w:tcW w:w="4462" w:type="dxa"/>
          <w:tcBorders>
            <w:top w:val="nil"/>
            <w:left w:val="nil"/>
            <w:bottom w:val="nil"/>
            <w:right w:val="nil"/>
          </w:tcBorders>
        </w:tcPr>
        <w:p w14:paraId="127B572F" w14:textId="77777777" w:rsidR="00D9115A" w:rsidRDefault="0079058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60D4261" wp14:editId="15B830B9">
                <wp:extent cx="1105535" cy="589915"/>
                <wp:effectExtent l="0" t="0" r="0" b="0"/>
                <wp:docPr id="32"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0CC5668" w14:textId="77777777" w:rsidR="00D9115A" w:rsidRDefault="00D9115A">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A1B8D53" w14:textId="77777777" w:rsidR="00D9115A" w:rsidRDefault="0079058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631E67F" wp14:editId="5364864E">
                <wp:extent cx="1638935" cy="561340"/>
                <wp:effectExtent l="0" t="0" r="0" b="0"/>
                <wp:docPr id="31"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0D2FAD8" w14:textId="77777777" w:rsidR="00D9115A" w:rsidRDefault="00D9115A">
    <w:pPr>
      <w:pBdr>
        <w:top w:val="nil"/>
        <w:left w:val="nil"/>
        <w:bottom w:val="nil"/>
        <w:right w:val="nil"/>
        <w:between w:val="nil"/>
      </w:pBdr>
      <w:tabs>
        <w:tab w:val="center" w:pos="4320"/>
        <w:tab w:val="right" w:pos="8640"/>
      </w:tabs>
      <w:spacing w:line="240" w:lineRule="auto"/>
      <w:ind w:left="0" w:hanging="2"/>
      <w:rPr>
        <w:color w:val="000000"/>
      </w:rPr>
    </w:pPr>
  </w:p>
  <w:p w14:paraId="38EDD077" w14:textId="77777777" w:rsidR="00D9115A" w:rsidRDefault="00D9115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6632E37" w14:textId="77777777" w:rsidR="00D9115A" w:rsidRDefault="00D9115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681"/>
    <w:multiLevelType w:val="multilevel"/>
    <w:tmpl w:val="04DA820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D9D47D9"/>
    <w:multiLevelType w:val="multilevel"/>
    <w:tmpl w:val="3B4C2B42"/>
    <w:lvl w:ilvl="0">
      <w:start w:val="6"/>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937C1B"/>
    <w:multiLevelType w:val="multilevel"/>
    <w:tmpl w:val="E23A610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E24B0E"/>
    <w:multiLevelType w:val="multilevel"/>
    <w:tmpl w:val="4434D68C"/>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4" w15:restartNumberingAfterBreak="0">
    <w:nsid w:val="2DA07CCD"/>
    <w:multiLevelType w:val="multilevel"/>
    <w:tmpl w:val="2972413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B9063C"/>
    <w:multiLevelType w:val="multilevel"/>
    <w:tmpl w:val="A7B0AB4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965F6"/>
    <w:multiLevelType w:val="multilevel"/>
    <w:tmpl w:val="CA9A0E42"/>
    <w:lvl w:ilvl="0">
      <w:start w:val="1"/>
      <w:numFmt w:val="decimal"/>
      <w:pStyle w:val="GJZaczniki"/>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EF74B2E"/>
    <w:multiLevelType w:val="multilevel"/>
    <w:tmpl w:val="D6227C7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5DB2046"/>
    <w:multiLevelType w:val="multilevel"/>
    <w:tmpl w:val="B2200E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FC51104"/>
    <w:multiLevelType w:val="multilevel"/>
    <w:tmpl w:val="E278B228"/>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0" w15:restartNumberingAfterBreak="0">
    <w:nsid w:val="60347A96"/>
    <w:multiLevelType w:val="multilevel"/>
    <w:tmpl w:val="53FA049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672B33E0"/>
    <w:multiLevelType w:val="multilevel"/>
    <w:tmpl w:val="A672E4DE"/>
    <w:lvl w:ilvl="0">
      <w:start w:val="1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636FDA"/>
    <w:multiLevelType w:val="multilevel"/>
    <w:tmpl w:val="AFC0D3BA"/>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767802"/>
    <w:multiLevelType w:val="multilevel"/>
    <w:tmpl w:val="585AD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A76F69"/>
    <w:multiLevelType w:val="multilevel"/>
    <w:tmpl w:val="B0427A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32E05D3"/>
    <w:multiLevelType w:val="multilevel"/>
    <w:tmpl w:val="4FACC934"/>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D61BC5"/>
    <w:multiLevelType w:val="multilevel"/>
    <w:tmpl w:val="05CA9AB6"/>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4E3AD4"/>
    <w:multiLevelType w:val="multilevel"/>
    <w:tmpl w:val="43A0BDE4"/>
    <w:lvl w:ilvl="0">
      <w:start w:val="1"/>
      <w:numFmt w:val="lowerLetter"/>
      <w:pStyle w:val="GJNadawca"/>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9"/>
  </w:num>
  <w:num w:numId="2">
    <w:abstractNumId w:val="3"/>
  </w:num>
  <w:num w:numId="3">
    <w:abstractNumId w:val="5"/>
  </w:num>
  <w:num w:numId="4">
    <w:abstractNumId w:val="2"/>
  </w:num>
  <w:num w:numId="5">
    <w:abstractNumId w:val="12"/>
  </w:num>
  <w:num w:numId="6">
    <w:abstractNumId w:val="0"/>
  </w:num>
  <w:num w:numId="7">
    <w:abstractNumId w:val="16"/>
  </w:num>
  <w:num w:numId="8">
    <w:abstractNumId w:val="15"/>
  </w:num>
  <w:num w:numId="9">
    <w:abstractNumId w:val="7"/>
  </w:num>
  <w:num w:numId="10">
    <w:abstractNumId w:val="8"/>
  </w:num>
  <w:num w:numId="11">
    <w:abstractNumId w:val="4"/>
  </w:num>
  <w:num w:numId="12">
    <w:abstractNumId w:val="13"/>
  </w:num>
  <w:num w:numId="13">
    <w:abstractNumId w:val="17"/>
  </w:num>
  <w:num w:numId="14">
    <w:abstractNumId w:val="6"/>
  </w:num>
  <w:num w:numId="15">
    <w:abstractNumId w:val="1"/>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15A"/>
    <w:rsid w:val="00200979"/>
    <w:rsid w:val="00425AFA"/>
    <w:rsid w:val="00430864"/>
    <w:rsid w:val="004B0523"/>
    <w:rsid w:val="00790582"/>
    <w:rsid w:val="00D9115A"/>
    <w:rsid w:val="00F51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4D95"/>
  <w15:docId w15:val="{9AE028AC-5874-46F3-95FC-A3D77B95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top w:w="14" w:type="dxa"/>
        <w:left w:w="70" w:type="dxa"/>
        <w:bottom w:w="14"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ZXrRzKjh/lp0Vq1B5JxWnr91w==">AMUW2mUsnnl7MAMkrN/pCOq/1aDVD1mYIG7Um+qEpiH29l6YKeO3O2kc1EhUorlszkZy/eefBaeQLluTtre3t4a+Im+V0a3xYSTE6D3NJpXLq6mD2hPNHhQbNzZeLXZgD9NwUE9KczTagRLd/xZSt/KeUe7pWi2mWGmTEs9Gs8afhybhrzlDRAmTFxVExUghd6r3L7j299fzXO2vxyqONMiz0HfnLANl/vu56vmhVxEjq6yBjY2InMBjC3y/RP0D+2YNsewrpLIvmKmbOJhskKOUz7LvGlXH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15854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2021-08-17T10:09:00Z</dcterms:created>
  <dcterms:modified xsi:type="dcterms:W3CDTF">2021-08-17T10:09:00Z</dcterms:modified>
</cp:coreProperties>
</file>