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</w:t>
      </w:r>
      <w:r w:rsidDel="00000000" w:rsidR="00000000" w:rsidRPr="00000000">
        <w:rPr>
          <w:b w:val="1"/>
          <w:sz w:val="28"/>
          <w:szCs w:val="28"/>
          <w:rtl w:val="0"/>
        </w:rPr>
        <w:t xml:space="preserve"> 23 SIERPNIA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2</w:t>
      </w:r>
      <w:r w:rsidDel="00000000" w:rsidR="00000000" w:rsidRPr="00000000">
        <w:rPr>
          <w:sz w:val="22"/>
          <w:szCs w:val="22"/>
          <w:rtl w:val="0"/>
        </w:rPr>
        <w:t xml:space="preserve">3 sierpnia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44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</w:t>
      </w:r>
      <w:r w:rsidDel="00000000" w:rsidR="00000000" w:rsidRPr="00000000">
        <w:rPr>
          <w:sz w:val="22"/>
          <w:szCs w:val="22"/>
          <w:rtl w:val="0"/>
        </w:rPr>
        <w:t xml:space="preserve"> element mechaniczny - zmotoryzowany stolik do skanowania XY</w:t>
        <w:tab/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społeczne;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e. nie jest podmiotem powiązanym osobowo lub kapitałowo z Zamawiającym, podlegającym wykluczeniu z udziału w postępowaniu o udzielenie zamówienia, zgodnie z pkt 5 Zapytania Ofertowego.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  <w:r w:rsidDel="00000000" w:rsidR="00000000" w:rsidRPr="00000000">
        <w:rPr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8801100</wp:posOffset>
              </wp:positionH>
              <wp:positionV relativeFrom="paragraph">
                <wp:posOffset>0</wp:posOffset>
              </wp:positionV>
              <wp:extent cx="313052" cy="774065"/>
              <wp:effectExtent b="0" l="0" r="0" t="0"/>
              <wp:wrapNone/>
              <wp:docPr id="104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052" cy="774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-538627</wp:posOffset>
          </wp:positionH>
          <wp:positionV relativeFrom="paragraph">
            <wp:posOffset>-200017</wp:posOffset>
          </wp:positionV>
          <wp:extent cx="6472749" cy="764858"/>
          <wp:effectExtent b="0" l="0" r="0" t="0"/>
          <wp:wrapTopAndBottom distB="0" distT="0"/>
          <wp:docPr id="10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5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5LOICm6ZvpTZtcolRmD+d6vVRg==">AMUW2mU8NWkc7LthZl/ubmXK5O5BsiSVgFCFV65t0Z5UNjPRDL5HKwOWH/o3ETPat1R8YJ0VnVAA8kwUObuhm+aPYRJheGLL0/IT5mSzYPnhXjOrKdm3lJ9TwS9k9BRUET6iyV+DXDEf/D6A0I0z3l5nn+BSQisf8w==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2021-08-23T10:34:00Z</dcterms:created>
  <dc:creator>Jakub Pietrasik</dc:creator>
</cp:coreProperties>
</file>