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16 sierpnia</w:t>
      </w:r>
      <w:r w:rsidDel="00000000" w:rsidR="00000000" w:rsidRPr="00000000">
        <w:rPr>
          <w:rFonts w:ascii="Times New Roman" w:cs="Times New Roman" w:eastAsia="Times New Roman" w:hAnsi="Times New Roman"/>
          <w:color w:val="000000"/>
          <w:rtl w:val="0"/>
        </w:rPr>
        <w:t xml:space="preserve"> 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bookmarkStart w:colFirst="0" w:colLast="0" w:name="_heading=h.tyjcwt"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G/40</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16 sierpnia</w:t>
      </w:r>
      <w:r w:rsidDel="00000000" w:rsidR="00000000" w:rsidRPr="00000000">
        <w:rPr>
          <w:rFonts w:ascii="Times New Roman" w:cs="Times New Roman" w:eastAsia="Times New Roman" w:hAnsi="Times New Roman"/>
          <w:b w:val="1"/>
          <w:color w:val="000000"/>
          <w:rtl w:val="0"/>
        </w:rPr>
        <w:t xml:space="preserve"> 2021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Informacje ogólne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Opis przedmiotu zamówienia</w:t>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Przedmiotem </w:t>
      </w:r>
      <w:r w:rsidDel="00000000" w:rsidR="00000000" w:rsidRPr="00000000">
        <w:rPr>
          <w:rFonts w:ascii="Times New Roman" w:cs="Times New Roman" w:eastAsia="Times New Roman" w:hAnsi="Times New Roman"/>
          <w:color w:val="000000"/>
          <w:rtl w:val="0"/>
        </w:rPr>
        <w:t xml:space="preserve">zamówienia jest dostawa klejów epoksydowych, wykazujących możliwość wstępnego utrwalenia połączenia klejowego, zgodnie ze szczegółowym opisem przedmiotu zamówienia, stanowiącym załącznik nr 1 do niniejszego zapytania ofertowego.</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 zamówienia na części jest technologicznie </w:t>
      </w:r>
      <w:r w:rsidDel="00000000" w:rsidR="00000000" w:rsidRPr="00000000">
        <w:rPr>
          <w:rFonts w:ascii="Times New Roman" w:cs="Times New Roman" w:eastAsia="Times New Roman" w:hAnsi="Times New Roman"/>
          <w:color w:val="000000"/>
          <w:rtl w:val="0"/>
        </w:rPr>
        <w:t xml:space="preserve">nieuzasadniony</w:t>
      </w:r>
      <w:r w:rsidDel="00000000" w:rsidR="00000000" w:rsidRPr="00000000">
        <w:rPr>
          <w:rFonts w:ascii="Times New Roman" w:cs="Times New Roman" w:eastAsia="Times New Roman" w:hAnsi="Times New Roman"/>
          <w:color w:val="000000"/>
          <w:rtl w:val="0"/>
        </w:rPr>
        <w:t xml:space="preserve">, warunki rynkowe i technologiczne powodują, że dostawy zamówienia w częściach powodowałyby utrudnienia dla Zamawiającego w prawidłowym osiągnięciu celów projektu.</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Fonts w:ascii="Times New Roman" w:cs="Times New Roman" w:eastAsia="Times New Roman" w:hAnsi="Times New Roman"/>
          <w:color w:val="000000"/>
          <w:rtl w:val="0"/>
        </w:rPr>
        <w:t xml:space="preserve">Zamawiający nie dopuszcza możliwości składania ofert wariantowych. </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Termin realizacji zamówienia: najszybciej jak to możliwe, nie więcej niż 7 tygodni od dnia złożenia zamówienia przez Zamawiającego. Zamawiający wymaga zastosowania zasady DAP Incoterms 2020. Zgodnie z zasadą DAP (delivery at place), dostawa jest uznawana za zrealizowaną w momencie dostarczenia towaru do miejsca wskazanego przez Zamawiającego.</w:t>
      </w:r>
      <w:r w:rsidDel="00000000" w:rsidR="00000000" w:rsidRPr="00000000">
        <w:rPr>
          <w:rtl w:val="0"/>
        </w:rPr>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Warunki udziału w postępowaniu oraz opis sposobu dokonywania oceny ich spełniania</w:t>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br w:type="textWrapping"/>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4"/>
      <w:bookmarkEnd w:id="4"/>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4">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Informacje na temat zakresu wykluczenia – podmioty powiązane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Wymagania dotyczące dokumentów składanych przez Wykonawców:</w:t>
      </w:r>
    </w:p>
    <w:p w:rsidR="00000000" w:rsidDel="00000000" w:rsidP="00000000" w:rsidRDefault="00000000" w:rsidRPr="00000000" w14:paraId="00000023">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w:t>
      </w:r>
      <w:r w:rsidDel="00000000" w:rsidR="00000000" w:rsidRPr="00000000">
        <w:rPr>
          <w:rFonts w:ascii="Times New Roman" w:cs="Times New Roman" w:eastAsia="Times New Roman" w:hAnsi="Times New Roman"/>
          <w:b w:val="1"/>
          <w:color w:val="000000"/>
          <w:rtl w:val="0"/>
        </w:rPr>
        <w:t xml:space="preserve">dokument wskazujący osoby uprawnione do reprezentowania Wykonawcy w zakresie niezbędnym do złożenia oferty – nie starszym  niż 3 miesiące od dnia składania ofert</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4">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bookmarkStart w:colFirst="0" w:colLast="0" w:name="_heading=h.3znysh7" w:id="5"/>
      <w:bookmarkEnd w:id="5"/>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formularz oferty oraz opis oferty należy złożyć w języku polskim lub angielskim zgodnie z załącznikiem nr 2, wyciąg z rejestru firmy dopuszcza się w jednym z urzędowych języków europejskich; Pełnomocnictwo należy złożyć na formularzu załączonym do przedmiotowego zapytania – załącznik numer 3. W przypadku złożenia dokumentów rejestrowych firmy w języku innym niż jeden z urzędowych języków europejskich zamawiający wezwie Wykonawcę do przetłumaczenia na jeden z tych języków. </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w:t>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C">
      <w:pPr>
        <w:pStyle w:val="Heading2"/>
        <w:numPr>
          <w:ilvl w:val="1"/>
          <w:numId w:val="3"/>
        </w:numPr>
        <w:ind w:left="1078" w:hanging="360"/>
        <w:rPr/>
      </w:pPr>
      <w:r w:rsidDel="00000000" w:rsidR="00000000" w:rsidRPr="00000000">
        <w:rPr>
          <w:b w:val="1"/>
          <w:rtl w:val="0"/>
        </w:rPr>
        <w:t xml:space="preserve">Cena netto oferty </w:t>
      </w:r>
      <w:r w:rsidDel="00000000" w:rsidR="00000000" w:rsidRPr="00000000">
        <w:rPr>
          <w:rtl w:val="0"/>
        </w:rPr>
        <w:t xml:space="preserve">– 70 punktów (70%);</w:t>
      </w:r>
    </w:p>
    <w:p w:rsidR="00000000" w:rsidDel="00000000" w:rsidP="00000000" w:rsidRDefault="00000000" w:rsidRPr="00000000" w14:paraId="0000002D">
      <w:pPr>
        <w:pStyle w:val="Heading2"/>
        <w:numPr>
          <w:ilvl w:val="1"/>
          <w:numId w:val="3"/>
        </w:numPr>
        <w:ind w:left="1078" w:hanging="360"/>
        <w:rPr/>
      </w:pPr>
      <w:bookmarkStart w:colFirst="0" w:colLast="0" w:name="_heading=h.1fob9te" w:id="6"/>
      <w:bookmarkEnd w:id="6"/>
      <w:r w:rsidDel="00000000" w:rsidR="00000000" w:rsidRPr="00000000">
        <w:rPr>
          <w:b w:val="1"/>
          <w:rtl w:val="0"/>
        </w:rPr>
        <w:t xml:space="preserve">Czas dostawy </w:t>
      </w:r>
      <w:r w:rsidDel="00000000" w:rsidR="00000000" w:rsidRPr="00000000">
        <w:rPr>
          <w:rtl w:val="0"/>
        </w:rPr>
        <w:t xml:space="preserve">wyrażony w dniach kalendarzowych – 30 punktów (30%);</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70.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40"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70.</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czasu dostawy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(najkrótszy czas dostawy przedmiotu Zamówienia / czas dostawy przedmiotu Zamówienia badanej oferty) x 30.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30.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potrzeb oceny ofert w ramach powyższego kryterium, w przypadku wyrażenia czasu dostawy w tygodniach lub miesiącach, Zamawiający przyjmuje:</w:t>
      </w:r>
    </w:p>
    <w:p w:rsidR="00000000" w:rsidDel="00000000" w:rsidP="00000000" w:rsidRDefault="00000000" w:rsidRPr="00000000" w14:paraId="0000003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tydzień – 7 dni kalendarzowych,</w:t>
      </w:r>
    </w:p>
    <w:p w:rsidR="00000000" w:rsidDel="00000000" w:rsidP="00000000" w:rsidRDefault="00000000" w:rsidRPr="00000000" w14:paraId="000000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4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miesiąc – 30 dni kalendarzowych.</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składania ofert</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rtl w:val="0"/>
        </w:rPr>
        <w:t xml:space="preserve"> sierpnia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30</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dni. Bieg terminu związania ofertą rozpoczyna się wraz z upływem terminu składania ofert. </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Sposób obliczenia ceny i przygotowania oferty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wszelkie elementy cenotwórcze wynikające z realizacji przedmiotu zamówienia.</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Wzór formularza ofertowego stanowi załącznik nr 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odpis z KRS Wykonawcy / Odpis z CEIDG Wykonawcy / inny dokument rejestrowy właściwy dla Wykonawcy wskazujący osoby uprawnione do reprezentowania Wykonawcy i złożenia oferty – nie starszy niż 3 miesiące niż termin składania ofert; pełnomocnictwo, jeżeli oferta jest składana przez pełnomocnika; opis oferty.</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Badanie ofert</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braków w nadesłanej dokumentacji - w wyznaczonym terminie;</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Osoby kontaktowe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Tomasz Ratajczyk, e-mail: </w:t>
      </w:r>
      <w:hyperlink r:id="rId7">
        <w:r w:rsidDel="00000000" w:rsidR="00000000" w:rsidRPr="00000000">
          <w:rPr>
            <w:rFonts w:ascii="Times New Roman" w:cs="Times New Roman" w:eastAsia="Times New Roman" w:hAnsi="Times New Roman"/>
            <w:color w:val="0000ff"/>
            <w:u w:val="single"/>
            <w:vertAlign w:val="baseline"/>
            <w:rtl w:val="0"/>
          </w:rPr>
          <w:t xml:space="preserve">tratajczyk@vigo.com.pl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Przemysław Ropelewski,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vertAlign w:val="baseline"/>
            <w:rtl w:val="0"/>
          </w:rPr>
          <w:t xml:space="preserve">propelewski@vigo.com.pl</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Informacja o wyborze najkorzystniejszej oferty</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bookmarkStart w:colFirst="0" w:colLast="0" w:name="_heading=h.gjdgxs"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Istotne warunki zamówienia</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zapytaniu ofertowym.</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 wartości zamówienia netto za każdy dzień opóźnienia – nie więcej niż 5 %. Wykonawca wyrażą zgodę na potrącenie ewentualnej kary umownej z wynagrodzenia. </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Postanowienia końcowe</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wzór formularza oferty;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8"/>
      <w:bookmarkEnd w:id="8"/>
      <w:r w:rsidDel="00000000" w:rsidR="00000000" w:rsidRPr="00000000">
        <w:rPr>
          <w:rFonts w:ascii="Times New Roman" w:cs="Times New Roman" w:eastAsia="Times New Roman" w:hAnsi="Times New Roman"/>
          <w:color w:val="000000"/>
          <w:rtl w:val="0"/>
        </w:rPr>
        <w:t xml:space="preserve">załącznik nr 3 – wzór pełnomocnictwa.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5399730" cy="622300"/>
          <wp:effectExtent b="0" l="0" r="0" t="0"/>
          <wp:wrapSquare wrapText="bothSides" distB="114300" distT="114300" distL="114300" distR="114300"/>
          <wp:docPr id="10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4"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3"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decimal"/>
      <w:lvlText w:val="%1."/>
      <w:lvlJc w:val="left"/>
      <w:pPr>
        <w:ind w:left="36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tajczyk@vigo.com.pl" TargetMode="External"/><Relationship Id="rId8" Type="http://schemas.openxmlformats.org/officeDocument/2006/relationships/hyperlink" Target="mailto:propelewsk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S0o9iC7aMXqO9H1irb7BeZJng==">AMUW2mVyqWlQ20PukByNPXKhcbrm5XPoCoBbbFs8WHvrEe45W301eF0d+PsmGNfv/l7n2xuZ5RbdmbY8rNrN5UUO6MlivdI9dfivGow+GOqZ+hKrPVTy/KMuSSE00UfBYVvA4Le9uuWEDv45lce43kUsIgfWgmjOCpVE0K/lVfCseL39NKQmNdyjdg6Xf/CtpSamkO75StsyEtf7cZJ7O0IrfM9E4MSITUGjtymCgRCG1sHXTeEDUavdcsHDUfCuJHjhBrIpidz5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2021-08-11T12:33:00Z</dcterms:created>
  <dc:creator>Jakub Pietrasik</dc:creator>
</cp:coreProperties>
</file>