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są metale do parowania o podwyższonej czystości w ilości: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Nikiel 4,5N</w:t>
        <w:tab/>
        <w:tab/>
        <w:tab/>
        <w:tab/>
        <w:tab/>
        <w:t xml:space="preserve">100 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Platyna </w:t>
        <w:tab/>
        <w:t xml:space="preserve">4N</w:t>
        <w:tab/>
        <w:tab/>
        <w:tab/>
        <w:tab/>
        <w:tab/>
        <w:t xml:space="preserve">100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Pallad 4N</w:t>
        <w:tab/>
        <w:tab/>
        <w:tab/>
        <w:tab/>
        <w:tab/>
        <w:t xml:space="preserve">20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Złoto-German 4N</w:t>
        <w:tab/>
        <w:tab/>
        <w:tab/>
        <w:tab/>
        <w:t xml:space="preserve">100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Całkowita cena za produkty określone w punkcie 1 powinna zawierać całkowity koszt wraz z opakowaniem oraz  dostarczeniem  do siedziby Zamawiającego. 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towarów wraz z dostawą - dla danej przedłożonej oferty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B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Najszybciej jak to możliwe, nie później niż  4 tygodni od dnia złożenia zamówienia. </w:t>
      </w:r>
    </w:p>
    <w:p w:rsidR="00000000" w:rsidDel="00000000" w:rsidP="00000000" w:rsidRDefault="00000000" w:rsidRPr="00000000" w14:paraId="0000001C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Termin realizacji zamówienia obejmuje gotowość do przekazania towaru Zamawiającemu, odpowiadającego zastosowaniu zasady DAP Incoterms2020.</w:t>
      </w:r>
    </w:p>
    <w:p w:rsidR="00000000" w:rsidDel="00000000" w:rsidP="00000000" w:rsidRDefault="00000000" w:rsidRPr="00000000" w14:paraId="0000001D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Zgodnie z zasadą DAP (delivery at place), za moment dostarczenia towaru uznaje się dostarczenie do miejsca – siedziby Zamawiającego</w:t>
      </w:r>
    </w:p>
    <w:p w:rsidR="00000000" w:rsidDel="00000000" w:rsidP="00000000" w:rsidRDefault="00000000" w:rsidRPr="00000000" w14:paraId="0000001E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Zamawiający dopuszcza możliwość zastosowania innej zasady Incoterms2020 (m.in. FCA, DAP etc.), pod warunkiem dotrzymania terminu, o którym mowa powyżej.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Część I</w:t>
      </w:r>
    </w:p>
    <w:tbl>
      <w:tblPr>
        <w:tblStyle w:val="Table2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255.312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Nikiel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≥99,995%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 ≤ 0.05 ppm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≤ 1,6 ppm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≤ 12 ppm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 ≤ 2,7 ppm</w:t>
            </w:r>
          </w:p>
        </w:tc>
      </w:tr>
    </w:tbl>
    <w:p w:rsidR="00000000" w:rsidDel="00000000" w:rsidP="00000000" w:rsidRDefault="00000000" w:rsidRPr="00000000" w14:paraId="00000033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Część II</w:t>
      </w:r>
    </w:p>
    <w:tbl>
      <w:tblPr>
        <w:tblStyle w:val="Table3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sybmp41t7xfs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Platyna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≥99,99%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 ≤ 13 ppm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 ≤ 2 ppm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 ≤ 2 ppm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≤ 17 ppm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Zn ≤ 5 ppm</w:t>
            </w:r>
          </w:p>
        </w:tc>
      </w:tr>
    </w:tbl>
    <w:p w:rsidR="00000000" w:rsidDel="00000000" w:rsidP="00000000" w:rsidRDefault="00000000" w:rsidRPr="00000000" w14:paraId="00000047">
      <w:pPr>
        <w:spacing w:after="0"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Część III</w:t>
      </w:r>
    </w:p>
    <w:tbl>
      <w:tblPr>
        <w:tblStyle w:val="Table4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lcnm90hene45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Pallad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≥99,99%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Śrut o wymiarach: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Ir ≤ 6 ppm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 ≤ 2 ppm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Rh ≤ 1 ppm</w:t>
            </w:r>
          </w:p>
        </w:tc>
      </w:tr>
    </w:tbl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Część IV</w:t>
      </w:r>
    </w:p>
    <w:tbl>
      <w:tblPr>
        <w:tblStyle w:val="Table5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h34xgrypl47p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Złoto-German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≥99,99%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 ≤ 2,7 ppm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 ≤ 1,7 ppm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≤ 1,6 ppm</w:t>
            </w:r>
          </w:p>
        </w:tc>
      </w:tr>
    </w:tbl>
    <w:p w:rsidR="00000000" w:rsidDel="00000000" w:rsidP="00000000" w:rsidRDefault="00000000" w:rsidRPr="00000000" w14:paraId="0000006A">
      <w:pPr>
        <w:spacing w:after="0" w:line="360" w:lineRule="auto"/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v+NvxPK8HMSoTShlXMAQO4lqw==">AMUW2mUhQYzYr/bsHuBM79Oph+GIUvq96ZgiaBqVmw6Pd/RTx+3GTCe9P3leaGZKW2bxR5lNlAO36ohv5/vOsM7zQnPwbufOMsdP3o/3Y8PvlMmlExn5PDJaEym23wwmKcNk/RrNp/1tdJwxUAG0RxLHu+FxZeB04MLxgEUrJxPKSP1DVDCUp1DqnIzb+OVAuU+iHzg5erQ0/lc29VW/VJSewG9FI2uS7g==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2020-12-18T10:04:00Z</dcterms:created>
  <dc:creator>Marta Świątkowska</dc:creator>
</cp:coreProperties>
</file>