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w:t>
      </w:r>
      <w:r w:rsidDel="00000000" w:rsidR="00000000" w:rsidRPr="00000000">
        <w:rPr>
          <w:rtl w:val="0"/>
        </w:rPr>
        <w:t xml:space="preserve"> 14 September 2021 NUMBER TMS-MRP/2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submitting an offer and represent ………………………………………… .. [•] in the procurement procedure: Inquiry no. of </w:t>
      </w:r>
      <w:r w:rsidDel="00000000" w:rsidR="00000000" w:rsidRPr="00000000">
        <w:rPr>
          <w:rtl w:val="0"/>
        </w:rPr>
        <w:t xml:space="preserve">14 September 2021 NUMBER TMS-MRP/2</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-485137</wp:posOffset>
          </wp:positionH>
          <wp:positionV relativeFrom="paragraph">
            <wp:posOffset>-76197</wp:posOffset>
          </wp:positionV>
          <wp:extent cx="6472555" cy="765175"/>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16S8/qT1J+XWBFsRwOLNb2sug==">AMUW2mVqZFLwpCxEpQT/Z0RgbMwPeHTmANbG6qaTeKrzfC63MN3wIE20WuBrzLiYzi85DqUFh10EZMinP5bIhfAdNbPBQoogrit7qA9Bsg74KA+rkIexc5o=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