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516" w:rsidRDefault="00E37EE8">
      <w:pPr>
        <w:pBdr>
          <w:top w:val="nil"/>
          <w:left w:val="nil"/>
          <w:bottom w:val="nil"/>
          <w:right w:val="nil"/>
          <w:between w:val="nil"/>
        </w:pBdr>
        <w:spacing w:before="100" w:after="0" w:line="360" w:lineRule="auto"/>
        <w:ind w:left="1080" w:firstLine="360"/>
        <w:jc w:val="center"/>
        <w:rPr>
          <w:b/>
          <w:color w:val="000000"/>
        </w:rPr>
      </w:pPr>
      <w:r>
        <w:rPr>
          <w:b/>
          <w:color w:val="000000"/>
        </w:rPr>
        <w:t>ORDER DESCRIPTION</w:t>
      </w:r>
    </w:p>
    <w:p w:rsidR="00C40516" w:rsidRDefault="00E37EE8">
      <w:pPr>
        <w:numPr>
          <w:ilvl w:val="0"/>
          <w:numId w:val="1"/>
        </w:numPr>
        <w:pBdr>
          <w:top w:val="nil"/>
          <w:left w:val="nil"/>
          <w:bottom w:val="nil"/>
          <w:right w:val="nil"/>
          <w:between w:val="nil"/>
        </w:pBdr>
        <w:spacing w:after="0" w:line="360" w:lineRule="auto"/>
        <w:rPr>
          <w:b/>
          <w:color w:val="000000"/>
          <w:u w:val="single"/>
        </w:rPr>
      </w:pPr>
      <w:r>
        <w:rPr>
          <w:b/>
          <w:color w:val="000000"/>
          <w:u w:val="single"/>
        </w:rPr>
        <w:t>The object of the contract</w:t>
      </w:r>
    </w:p>
    <w:p w:rsidR="00C40516" w:rsidRDefault="00E37EE8">
      <w:pPr>
        <w:spacing w:after="0" w:line="240" w:lineRule="auto"/>
        <w:jc w:val="both"/>
      </w:pPr>
      <w:r>
        <w:t>The subject of the contract is a header to thermoelectric cooler in the amount of</w:t>
      </w:r>
    </w:p>
    <w:p w:rsidR="00C40516" w:rsidRDefault="00E37EE8">
      <w:pPr>
        <w:numPr>
          <w:ilvl w:val="0"/>
          <w:numId w:val="2"/>
        </w:numPr>
        <w:spacing w:after="0" w:line="240" w:lineRule="auto"/>
        <w:jc w:val="both"/>
      </w:pPr>
      <w:r>
        <w:t xml:space="preserve">header TO8 – 12 pin – </w:t>
      </w:r>
      <w:r w:rsidR="007063F6">
        <w:t>300</w:t>
      </w:r>
      <w:r>
        <w:t xml:space="preserve"> pcs </w:t>
      </w:r>
    </w:p>
    <w:p w:rsidR="00C40516" w:rsidRDefault="00C40516">
      <w:pPr>
        <w:spacing w:after="0" w:line="240" w:lineRule="auto"/>
        <w:ind w:left="720"/>
        <w:jc w:val="both"/>
      </w:pPr>
    </w:p>
    <w:p w:rsidR="00C40516" w:rsidRDefault="00C40516">
      <w:pPr>
        <w:spacing w:after="0" w:line="240" w:lineRule="auto"/>
        <w:rPr>
          <w:b/>
          <w:color w:val="000000"/>
        </w:rPr>
      </w:pPr>
    </w:p>
    <w:p w:rsidR="00C40516" w:rsidRDefault="00E37EE8">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rsidR="00C40516" w:rsidRDefault="00C40516">
      <w:pPr>
        <w:spacing w:after="0" w:line="240" w:lineRule="auto"/>
        <w:jc w:val="both"/>
      </w:pPr>
    </w:p>
    <w:p w:rsidR="00C40516" w:rsidRDefault="00E37EE8">
      <w:pPr>
        <w:spacing w:after="0" w:line="240" w:lineRule="auto"/>
        <w:jc w:val="both"/>
      </w:pPr>
      <w:r>
        <w:t xml:space="preserve">A detailed description of the subject of the contract is provided in section 5 of this document. </w:t>
      </w:r>
    </w:p>
    <w:p w:rsidR="00C40516" w:rsidRDefault="00C40516">
      <w:pPr>
        <w:spacing w:after="0" w:line="240" w:lineRule="auto"/>
        <w:jc w:val="both"/>
      </w:pPr>
    </w:p>
    <w:p w:rsidR="00C40516" w:rsidRDefault="00E37EE8">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rsidR="00C40516" w:rsidRDefault="00E37EE8">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5"/>
        <w:tblW w:w="9353" w:type="dxa"/>
        <w:tblInd w:w="0" w:type="dxa"/>
        <w:tblLayout w:type="fixed"/>
        <w:tblLook w:val="0000" w:firstRow="0" w:lastRow="0" w:firstColumn="0" w:lastColumn="0" w:noHBand="0" w:noVBand="0"/>
      </w:tblPr>
      <w:tblGrid>
        <w:gridCol w:w="2974"/>
        <w:gridCol w:w="3119"/>
        <w:gridCol w:w="3260"/>
      </w:tblGrid>
      <w:tr w:rsidR="00C40516">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rsidR="00C40516" w:rsidRDefault="00E37EE8">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C40516" w:rsidRDefault="00E37EE8">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rsidR="00C40516" w:rsidRDefault="00E37EE8">
            <w:pPr>
              <w:widowControl w:val="0"/>
              <w:spacing w:after="0" w:line="240" w:lineRule="auto"/>
              <w:jc w:val="center"/>
            </w:pPr>
            <w:r>
              <w:t>Method of awarding points</w:t>
            </w:r>
          </w:p>
        </w:tc>
      </w:tr>
      <w:tr w:rsidR="00C40516">
        <w:tc>
          <w:tcPr>
            <w:tcW w:w="2974" w:type="dxa"/>
            <w:tcBorders>
              <w:left w:val="single" w:sz="4" w:space="0" w:color="000000"/>
              <w:bottom w:val="single" w:sz="4" w:space="0" w:color="000000"/>
            </w:tcBorders>
            <w:tcMar>
              <w:top w:w="55" w:type="dxa"/>
              <w:left w:w="55" w:type="dxa"/>
              <w:bottom w:w="55" w:type="dxa"/>
              <w:right w:w="55" w:type="dxa"/>
            </w:tcMar>
            <w:vAlign w:val="center"/>
          </w:tcPr>
          <w:p w:rsidR="00C40516" w:rsidRDefault="00E37EE8">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40516" w:rsidRDefault="00E37EE8">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rsidR="00C40516" w:rsidRDefault="00E37EE8">
            <w:pPr>
              <w:widowControl w:val="0"/>
              <w:spacing w:after="0" w:line="240" w:lineRule="auto"/>
              <w:jc w:val="center"/>
            </w:pPr>
            <w:r>
              <w:t xml:space="preserve">S x </w:t>
            </w:r>
            <w:proofErr w:type="spellStart"/>
            <w:r>
              <w:t>Pmin</w:t>
            </w:r>
            <w:proofErr w:type="spellEnd"/>
            <w:r>
              <w:t>/Pi</w:t>
            </w:r>
          </w:p>
        </w:tc>
      </w:tr>
    </w:tbl>
    <w:p w:rsidR="00C40516" w:rsidRDefault="00C40516">
      <w:pPr>
        <w:pBdr>
          <w:top w:val="nil"/>
          <w:left w:val="nil"/>
          <w:bottom w:val="nil"/>
          <w:right w:val="nil"/>
          <w:between w:val="nil"/>
        </w:pBdr>
        <w:spacing w:after="0" w:line="360" w:lineRule="auto"/>
        <w:rPr>
          <w:b/>
          <w:color w:val="000000"/>
          <w:u w:val="single"/>
        </w:rPr>
      </w:pPr>
    </w:p>
    <w:p w:rsidR="00C40516" w:rsidRDefault="00E37EE8">
      <w:pPr>
        <w:pBdr>
          <w:top w:val="nil"/>
          <w:left w:val="nil"/>
          <w:bottom w:val="nil"/>
          <w:right w:val="nil"/>
          <w:between w:val="nil"/>
        </w:pBdr>
        <w:spacing w:after="0" w:line="360" w:lineRule="auto"/>
        <w:rPr>
          <w:color w:val="000000"/>
        </w:rPr>
      </w:pPr>
      <w:r>
        <w:rPr>
          <w:color w:val="000000"/>
        </w:rPr>
        <w:t>Where:</w:t>
      </w:r>
    </w:p>
    <w:p w:rsidR="00C40516" w:rsidRDefault="00E37EE8">
      <w:pPr>
        <w:numPr>
          <w:ilvl w:val="0"/>
          <w:numId w:val="3"/>
        </w:numPr>
        <w:spacing w:after="0" w:line="240" w:lineRule="auto"/>
        <w:jc w:val="both"/>
      </w:pPr>
      <w:r>
        <w:t>Pi – the net price of goods - for the given offer</w:t>
      </w:r>
    </w:p>
    <w:p w:rsidR="00C40516" w:rsidRDefault="00E37EE8">
      <w:pPr>
        <w:numPr>
          <w:ilvl w:val="0"/>
          <w:numId w:val="3"/>
        </w:numPr>
        <w:spacing w:after="0" w:line="240" w:lineRule="auto"/>
        <w:jc w:val="both"/>
      </w:pPr>
      <w:proofErr w:type="spellStart"/>
      <w:r>
        <w:t>Pmin</w:t>
      </w:r>
      <w:proofErr w:type="spellEnd"/>
      <w:r>
        <w:t xml:space="preserve"> - the minimum delivery net price for the ordered goods from all offers submitted</w:t>
      </w:r>
    </w:p>
    <w:p w:rsidR="00C40516" w:rsidRDefault="00E37EE8">
      <w:pPr>
        <w:numPr>
          <w:ilvl w:val="0"/>
          <w:numId w:val="3"/>
        </w:numPr>
        <w:spacing w:after="0" w:line="240" w:lineRule="auto"/>
        <w:jc w:val="both"/>
      </w:pPr>
      <w:r>
        <w:t>S – number of points</w:t>
      </w:r>
    </w:p>
    <w:p w:rsidR="00C40516" w:rsidRDefault="00E37EE8">
      <w:pPr>
        <w:pBdr>
          <w:top w:val="nil"/>
          <w:left w:val="nil"/>
          <w:bottom w:val="nil"/>
          <w:right w:val="nil"/>
          <w:between w:val="nil"/>
        </w:pBdr>
        <w:spacing w:after="0" w:line="360" w:lineRule="auto"/>
        <w:rPr>
          <w:b/>
          <w:color w:val="000000"/>
          <w:u w:val="single"/>
        </w:rPr>
      </w:pPr>
      <w:bookmarkStart w:id="0" w:name="_heading=h.30j0zll" w:colFirst="0" w:colLast="0"/>
      <w:bookmarkEnd w:id="0"/>
      <w:r>
        <w:t>The final score will be calculated by adding up the partial components and then rounded to two decimal places (rounded from "5" up).</w:t>
      </w:r>
    </w:p>
    <w:p w:rsidR="00C40516" w:rsidRDefault="00E37EE8">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rsidR="00C40516" w:rsidRDefault="00E37EE8">
      <w:pPr>
        <w:spacing w:before="240" w:after="240" w:line="360" w:lineRule="auto"/>
        <w:jc w:val="both"/>
        <w:rPr>
          <w:b/>
        </w:rPr>
      </w:pPr>
      <w:r>
        <w:rPr>
          <w:b/>
        </w:rPr>
        <w:t xml:space="preserve">As soon as possible, no later than </w:t>
      </w:r>
      <w:r w:rsidR="007063F6">
        <w:rPr>
          <w:b/>
        </w:rPr>
        <w:t xml:space="preserve">6 </w:t>
      </w:r>
      <w:r>
        <w:rPr>
          <w:b/>
        </w:rPr>
        <w:t>weeks from the date of placing the order.</w:t>
      </w:r>
    </w:p>
    <w:p w:rsidR="00C40516" w:rsidRDefault="00E37EE8">
      <w:pPr>
        <w:spacing w:before="240" w:after="240" w:line="360" w:lineRule="auto"/>
        <w:jc w:val="both"/>
        <w:rPr>
          <w:b/>
        </w:rPr>
      </w:pPr>
      <w:r>
        <w:rPr>
          <w:b/>
        </w:rPr>
        <w:t>Deadline for completion of the order includes readiness to hand over the goods to the Ordering Party, which complies with application of the EXW Incoterms2020 principle.</w:t>
      </w:r>
    </w:p>
    <w:p w:rsidR="00C40516" w:rsidRDefault="00E37EE8">
      <w:pPr>
        <w:spacing w:before="240" w:after="240" w:line="360" w:lineRule="auto"/>
        <w:jc w:val="both"/>
        <w:rPr>
          <w:b/>
        </w:rPr>
      </w:pPr>
      <w:r>
        <w:rPr>
          <w:b/>
        </w:rPr>
        <w:t>According to the EXW (</w:t>
      </w:r>
      <w:proofErr w:type="spellStart"/>
      <w:r>
        <w:rPr>
          <w:b/>
        </w:rPr>
        <w:t>ex works</w:t>
      </w:r>
      <w:proofErr w:type="spellEnd"/>
      <w:r>
        <w:rPr>
          <w:b/>
        </w:rPr>
        <w:t>) principle, the moment of delivery of the goods is considered to be the moment of placing of the goods at the disposal of the buyer at place indicated by the supplier (factory, plant etc.).</w:t>
      </w:r>
    </w:p>
    <w:p w:rsidR="00C40516" w:rsidRDefault="00E37EE8">
      <w:pPr>
        <w:spacing w:before="240" w:after="240" w:line="360" w:lineRule="auto"/>
        <w:jc w:val="both"/>
        <w:rPr>
          <w:b/>
        </w:rPr>
      </w:pPr>
      <w:bookmarkStart w:id="1" w:name="_heading=h.1fob9te" w:colFirst="0" w:colLast="0"/>
      <w:bookmarkEnd w:id="1"/>
      <w:r>
        <w:rPr>
          <w:b/>
        </w:rPr>
        <w:t>The Ordering Party shall accept application of other Incoterms2020 principle (such as FCA, DAP etc.), on condition that the Contractor will meet the deadline for completion, as referred to above.</w:t>
      </w:r>
    </w:p>
    <w:p w:rsidR="00C40516" w:rsidRDefault="00E37EE8">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p w:rsidR="00C40516" w:rsidRDefault="00E37EE8">
      <w:pPr>
        <w:pBdr>
          <w:top w:val="nil"/>
          <w:left w:val="nil"/>
          <w:bottom w:val="nil"/>
          <w:right w:val="nil"/>
          <w:between w:val="nil"/>
        </w:pBdr>
        <w:spacing w:after="0" w:line="360" w:lineRule="auto"/>
        <w:ind w:left="360"/>
        <w:rPr>
          <w:b/>
          <w:u w:val="single"/>
        </w:rPr>
      </w:pPr>
      <w:r>
        <w:rPr>
          <w:b/>
          <w:u w:val="single"/>
        </w:rPr>
        <w:t>5.1 Detailed scope of the subject</w:t>
      </w:r>
    </w:p>
    <w:p w:rsidR="007063F6" w:rsidRDefault="007063F6">
      <w:pPr>
        <w:pBdr>
          <w:top w:val="nil"/>
          <w:left w:val="nil"/>
          <w:bottom w:val="nil"/>
          <w:right w:val="nil"/>
          <w:between w:val="nil"/>
        </w:pBdr>
        <w:spacing w:after="0" w:line="360" w:lineRule="auto"/>
        <w:ind w:left="360"/>
        <w:rPr>
          <w:b/>
          <w:u w:val="single"/>
        </w:rPr>
      </w:pPr>
    </w:p>
    <w:tbl>
      <w:tblPr>
        <w:tblStyle w:val="a6"/>
        <w:tblW w:w="10305"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4545"/>
        <w:gridCol w:w="4245"/>
      </w:tblGrid>
      <w:tr w:rsidR="00C40516">
        <w:trPr>
          <w:trHeight w:val="240"/>
        </w:trPr>
        <w:tc>
          <w:tcPr>
            <w:tcW w:w="1515" w:type="dxa"/>
            <w:shd w:val="clear" w:color="auto" w:fill="DDDDDD"/>
          </w:tcPr>
          <w:p w:rsidR="00C40516" w:rsidRDefault="00E37EE8">
            <w:pPr>
              <w:widowControl w:val="0"/>
              <w:pBdr>
                <w:top w:val="nil"/>
                <w:left w:val="nil"/>
                <w:bottom w:val="nil"/>
                <w:right w:val="nil"/>
                <w:between w:val="nil"/>
              </w:pBdr>
              <w:spacing w:after="0" w:line="240" w:lineRule="auto"/>
              <w:rPr>
                <w:color w:val="000000"/>
                <w:sz w:val="16"/>
                <w:szCs w:val="16"/>
              </w:rPr>
            </w:pPr>
            <w:bookmarkStart w:id="2" w:name="_Hlk86833908"/>
            <w:r>
              <w:rPr>
                <w:color w:val="000000"/>
                <w:sz w:val="16"/>
                <w:szCs w:val="16"/>
              </w:rPr>
              <w:lastRenderedPageBreak/>
              <w:t>Product name</w:t>
            </w:r>
          </w:p>
        </w:tc>
        <w:tc>
          <w:tcPr>
            <w:tcW w:w="4545" w:type="dxa"/>
            <w:shd w:val="clear" w:color="auto" w:fill="DDDDDD"/>
            <w:tcMar>
              <w:top w:w="55" w:type="dxa"/>
              <w:left w:w="55" w:type="dxa"/>
              <w:bottom w:w="55" w:type="dxa"/>
              <w:right w:w="55" w:type="dxa"/>
            </w:tcMar>
          </w:tcPr>
          <w:p w:rsidR="00C40516" w:rsidRDefault="00E37EE8">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Parameter </w:t>
            </w:r>
          </w:p>
        </w:tc>
        <w:tc>
          <w:tcPr>
            <w:tcW w:w="4245" w:type="dxa"/>
            <w:shd w:val="clear" w:color="auto" w:fill="DDDDDD"/>
          </w:tcPr>
          <w:p w:rsidR="00C40516" w:rsidRDefault="00E37EE8">
            <w:pPr>
              <w:widowControl w:val="0"/>
              <w:pBdr>
                <w:top w:val="nil"/>
                <w:left w:val="nil"/>
                <w:bottom w:val="nil"/>
                <w:right w:val="nil"/>
                <w:between w:val="nil"/>
              </w:pBdr>
              <w:spacing w:after="0" w:line="240" w:lineRule="auto"/>
              <w:rPr>
                <w:color w:val="000000"/>
                <w:sz w:val="16"/>
                <w:szCs w:val="16"/>
              </w:rPr>
            </w:pPr>
            <w:r>
              <w:rPr>
                <w:color w:val="000000"/>
                <w:sz w:val="16"/>
                <w:szCs w:val="16"/>
              </w:rPr>
              <w:t>Specification</w:t>
            </w:r>
          </w:p>
        </w:tc>
      </w:tr>
      <w:tr w:rsidR="007063F6">
        <w:trPr>
          <w:trHeight w:val="20"/>
        </w:trPr>
        <w:tc>
          <w:tcPr>
            <w:tcW w:w="1515" w:type="dxa"/>
            <w:vMerge w:val="restart"/>
            <w:vAlign w:val="center"/>
          </w:tcPr>
          <w:p w:rsidR="007063F6" w:rsidRDefault="007063F6">
            <w:pPr>
              <w:widowControl w:val="0"/>
              <w:spacing w:after="0" w:line="240" w:lineRule="auto"/>
              <w:ind w:hanging="2"/>
            </w:pPr>
            <w:r>
              <w:t xml:space="preserve">Header </w:t>
            </w:r>
          </w:p>
          <w:p w:rsidR="007063F6" w:rsidRDefault="007063F6">
            <w:pPr>
              <w:widowControl w:val="0"/>
              <w:spacing w:after="0" w:line="240" w:lineRule="auto"/>
              <w:ind w:hanging="2"/>
              <w:rPr>
                <w:b/>
              </w:rPr>
            </w:pPr>
            <w:r>
              <w:t>TO8-12 pin</w:t>
            </w:r>
          </w:p>
        </w:tc>
        <w:tc>
          <w:tcPr>
            <w:tcW w:w="4545" w:type="dxa"/>
            <w:tcMar>
              <w:top w:w="55" w:type="dxa"/>
              <w:left w:w="55" w:type="dxa"/>
              <w:bottom w:w="55" w:type="dxa"/>
              <w:right w:w="55" w:type="dxa"/>
            </w:tcMar>
          </w:tcPr>
          <w:p w:rsidR="007063F6" w:rsidRDefault="007063F6">
            <w:pPr>
              <w:spacing w:after="0" w:line="240" w:lineRule="auto"/>
              <w:ind w:hanging="2"/>
            </w:pPr>
            <w:r>
              <w:t>Header type</w:t>
            </w:r>
          </w:p>
        </w:tc>
        <w:tc>
          <w:tcPr>
            <w:tcW w:w="4245" w:type="dxa"/>
          </w:tcPr>
          <w:p w:rsidR="007063F6" w:rsidRDefault="007063F6">
            <w:pPr>
              <w:spacing w:after="0" w:line="240" w:lineRule="auto"/>
              <w:ind w:hanging="2"/>
            </w:pPr>
            <w:r>
              <w:t>TO8</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Number of the pins</w:t>
            </w:r>
          </w:p>
        </w:tc>
        <w:tc>
          <w:tcPr>
            <w:tcW w:w="4245" w:type="dxa"/>
          </w:tcPr>
          <w:p w:rsidR="007063F6" w:rsidRDefault="007063F6">
            <w:pPr>
              <w:spacing w:after="0" w:line="240" w:lineRule="auto"/>
              <w:ind w:hanging="2"/>
            </w:pPr>
            <w:r>
              <w:t>12 pin, including 1 ground pin (pin 11)</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Header material</w:t>
            </w:r>
          </w:p>
        </w:tc>
        <w:tc>
          <w:tcPr>
            <w:tcW w:w="4245" w:type="dxa"/>
          </w:tcPr>
          <w:p w:rsidR="007063F6" w:rsidRDefault="007063F6">
            <w:pPr>
              <w:spacing w:after="0" w:line="240" w:lineRule="auto"/>
              <w:ind w:hanging="2"/>
            </w:pPr>
            <w:r>
              <w:t>Kovar (alloy complying with ASTM F-15)</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Metallization of the header</w:t>
            </w:r>
          </w:p>
        </w:tc>
        <w:tc>
          <w:tcPr>
            <w:tcW w:w="4245" w:type="dxa"/>
          </w:tcPr>
          <w:p w:rsidR="007063F6" w:rsidRDefault="007063F6">
            <w:pPr>
              <w:spacing w:after="0" w:line="240" w:lineRule="auto"/>
            </w:pPr>
            <w:r>
              <w:t xml:space="preserve">1.Ni layer - metallization thickness 1.27-3.8 </w:t>
            </w:r>
            <w:proofErr w:type="spellStart"/>
            <w:r>
              <w:t>μm</w:t>
            </w:r>
            <w:proofErr w:type="spellEnd"/>
          </w:p>
          <w:p w:rsidR="007063F6" w:rsidRDefault="007063F6">
            <w:pPr>
              <w:spacing w:after="0" w:line="240" w:lineRule="auto"/>
              <w:ind w:hanging="2"/>
            </w:pPr>
            <w:r>
              <w:t xml:space="preserve">2. Au layer - metallization thickness&gt; 1.27 </w:t>
            </w:r>
            <w:proofErr w:type="spellStart"/>
            <w:r>
              <w:t>μm</w:t>
            </w:r>
            <w:proofErr w:type="spellEnd"/>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Pin material</w:t>
            </w:r>
          </w:p>
        </w:tc>
        <w:tc>
          <w:tcPr>
            <w:tcW w:w="4245" w:type="dxa"/>
          </w:tcPr>
          <w:p w:rsidR="007063F6" w:rsidRDefault="007063F6">
            <w:pPr>
              <w:spacing w:after="0" w:line="240" w:lineRule="auto"/>
              <w:ind w:hanging="2"/>
            </w:pPr>
            <w:r>
              <w:t>Kovar (alloy complying with ASTM F-15)</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Metallization of the pins</w:t>
            </w:r>
          </w:p>
        </w:tc>
        <w:tc>
          <w:tcPr>
            <w:tcW w:w="4245" w:type="dxa"/>
          </w:tcPr>
          <w:p w:rsidR="007063F6" w:rsidRDefault="007063F6">
            <w:pPr>
              <w:spacing w:after="0" w:line="240" w:lineRule="auto"/>
            </w:pPr>
            <w:r>
              <w:t xml:space="preserve">1.Ni layer - metallization thickness 1.27-3.8 </w:t>
            </w:r>
            <w:proofErr w:type="spellStart"/>
            <w:r>
              <w:t>μm</w:t>
            </w:r>
            <w:proofErr w:type="spellEnd"/>
          </w:p>
          <w:p w:rsidR="007063F6" w:rsidRDefault="007063F6">
            <w:pPr>
              <w:spacing w:after="0" w:line="240" w:lineRule="auto"/>
              <w:ind w:hanging="2"/>
            </w:pPr>
            <w:r>
              <w:t xml:space="preserve">2. Au layer - metallization thickness&gt; 1.27 </w:t>
            </w:r>
            <w:proofErr w:type="spellStart"/>
            <w:r>
              <w:t>μm</w:t>
            </w:r>
            <w:proofErr w:type="spellEnd"/>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Mounting screw</w:t>
            </w:r>
          </w:p>
        </w:tc>
        <w:tc>
          <w:tcPr>
            <w:tcW w:w="4245" w:type="dxa"/>
          </w:tcPr>
          <w:p w:rsidR="007063F6" w:rsidRDefault="007063F6">
            <w:pPr>
              <w:spacing w:after="0" w:line="240" w:lineRule="auto"/>
            </w:pPr>
            <w:r>
              <w:t>Screw material - CRS (cold rolled steel)</w:t>
            </w:r>
          </w:p>
          <w:p w:rsidR="007063F6" w:rsidRDefault="007063F6">
            <w:pPr>
              <w:spacing w:after="0" w:line="240" w:lineRule="auto"/>
            </w:pPr>
            <w:r>
              <w:t>Bolt thread - 4-40 UNC</w:t>
            </w:r>
          </w:p>
          <w:p w:rsidR="007063F6" w:rsidRDefault="007063F6">
            <w:pPr>
              <w:spacing w:after="0" w:line="240" w:lineRule="auto"/>
              <w:ind w:hanging="2"/>
            </w:pPr>
            <w:r>
              <w:t>Screw length - 6.4 ± 0.2 mm</w:t>
            </w:r>
          </w:p>
          <w:p w:rsidR="004D62FA" w:rsidRDefault="004D62FA">
            <w:pPr>
              <w:spacing w:after="0" w:line="240" w:lineRule="auto"/>
              <w:ind w:hanging="2"/>
            </w:pPr>
            <w:r w:rsidRPr="004D62FA">
              <w:t xml:space="preserve">A screw is </w:t>
            </w:r>
            <w:r>
              <w:t>mounted</w:t>
            </w:r>
            <w:r w:rsidRPr="004D62FA">
              <w:t xml:space="preserve"> to the bottom of the </w:t>
            </w:r>
            <w:r>
              <w:t>header</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Header sealing</w:t>
            </w:r>
          </w:p>
        </w:tc>
        <w:tc>
          <w:tcPr>
            <w:tcW w:w="4245" w:type="dxa"/>
          </w:tcPr>
          <w:p w:rsidR="007063F6" w:rsidRDefault="007063F6">
            <w:pPr>
              <w:spacing w:after="0" w:line="240" w:lineRule="auto"/>
            </w:pPr>
            <w:r>
              <w:t xml:space="preserve">Electrically non-conductive, non-transparent, helium leakage of a sealing material less than </w:t>
            </w:r>
          </w:p>
          <w:p w:rsidR="007063F6" w:rsidRDefault="007063F6">
            <w:pPr>
              <w:spacing w:after="0" w:line="240" w:lineRule="auto"/>
              <w:ind w:hanging="2"/>
            </w:pPr>
            <w:r>
              <w:t>10-8 mbar * l / s - e.g. Corning 7052 or equivalent</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The internal length of the pins (from the mounting surface of the cooler)</w:t>
            </w:r>
          </w:p>
        </w:tc>
        <w:tc>
          <w:tcPr>
            <w:tcW w:w="4245" w:type="dxa"/>
          </w:tcPr>
          <w:p w:rsidR="007063F6" w:rsidRDefault="007063F6">
            <w:pPr>
              <w:spacing w:after="0" w:line="240" w:lineRule="auto"/>
              <w:ind w:hanging="2"/>
            </w:pPr>
            <w:r>
              <w:t>2,54±0,1 mm</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Pin surface roughness</w:t>
            </w:r>
          </w:p>
        </w:tc>
        <w:tc>
          <w:tcPr>
            <w:tcW w:w="4245" w:type="dxa"/>
          </w:tcPr>
          <w:p w:rsidR="007063F6" w:rsidRDefault="007063F6" w:rsidP="007063F6">
            <w:pPr>
              <w:spacing w:after="0" w:line="240" w:lineRule="auto"/>
              <w:ind w:hanging="2"/>
            </w:pPr>
            <w:r>
              <w:t>Ra 0.8 or better</w:t>
            </w:r>
          </w:p>
        </w:tc>
      </w:tr>
      <w:tr w:rsidR="007063F6">
        <w:trPr>
          <w:trHeight w:val="20"/>
        </w:trPr>
        <w:tc>
          <w:tcPr>
            <w:tcW w:w="1515" w:type="dxa"/>
            <w:vMerge/>
            <w:vAlign w:val="center"/>
          </w:tcPr>
          <w:p w:rsidR="007063F6" w:rsidRDefault="007063F6">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7063F6" w:rsidRDefault="007063F6">
            <w:pPr>
              <w:spacing w:after="0" w:line="240" w:lineRule="auto"/>
              <w:ind w:hanging="2"/>
            </w:pPr>
            <w:r>
              <w:t>The outer length of the pins (from the surface with the thread mounted)</w:t>
            </w:r>
          </w:p>
        </w:tc>
        <w:tc>
          <w:tcPr>
            <w:tcW w:w="4245" w:type="dxa"/>
          </w:tcPr>
          <w:p w:rsidR="007063F6" w:rsidRDefault="007063F6">
            <w:pPr>
              <w:spacing w:after="0" w:line="240" w:lineRule="auto"/>
              <w:ind w:hanging="2"/>
            </w:pPr>
            <w:r>
              <w:t>7,9±0,3 mm</w:t>
            </w:r>
          </w:p>
        </w:tc>
      </w:tr>
      <w:tr w:rsidR="004D62FA">
        <w:trPr>
          <w:trHeight w:val="20"/>
        </w:trPr>
        <w:tc>
          <w:tcPr>
            <w:tcW w:w="1515" w:type="dxa"/>
            <w:vMerge/>
            <w:vAlign w:val="center"/>
          </w:tcPr>
          <w:p w:rsidR="004D62FA" w:rsidRDefault="004D62FA">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4D62FA" w:rsidRPr="007063F6" w:rsidRDefault="004D62FA">
            <w:pPr>
              <w:spacing w:after="0" w:line="240" w:lineRule="auto"/>
              <w:ind w:hanging="2"/>
            </w:pPr>
            <w:r w:rsidRPr="004D62FA">
              <w:t xml:space="preserve">Outer diameter of the </w:t>
            </w:r>
            <w:r>
              <w:t>header</w:t>
            </w:r>
          </w:p>
        </w:tc>
        <w:tc>
          <w:tcPr>
            <w:tcW w:w="4245" w:type="dxa"/>
          </w:tcPr>
          <w:p w:rsidR="004D62FA" w:rsidRDefault="004D62FA" w:rsidP="007063F6">
            <w:pPr>
              <w:spacing w:after="0" w:line="240" w:lineRule="auto"/>
              <w:ind w:hanging="2"/>
            </w:pPr>
            <w:r>
              <w:t xml:space="preserve">Fi 15,24 </w:t>
            </w:r>
            <w:r w:rsidRPr="007063F6">
              <w:t>±</w:t>
            </w:r>
            <w:r>
              <w:t xml:space="preserve"> 0.1mm</w:t>
            </w:r>
          </w:p>
        </w:tc>
      </w:tr>
      <w:tr w:rsidR="004D62FA">
        <w:trPr>
          <w:trHeight w:val="20"/>
        </w:trPr>
        <w:tc>
          <w:tcPr>
            <w:tcW w:w="1515" w:type="dxa"/>
            <w:vMerge/>
            <w:vAlign w:val="center"/>
          </w:tcPr>
          <w:p w:rsidR="004D62FA" w:rsidRDefault="004D62FA">
            <w:pPr>
              <w:widowControl w:val="0"/>
              <w:pBdr>
                <w:top w:val="nil"/>
                <w:left w:val="nil"/>
                <w:bottom w:val="nil"/>
                <w:right w:val="nil"/>
                <w:between w:val="nil"/>
              </w:pBdr>
              <w:spacing w:after="0"/>
            </w:pPr>
          </w:p>
        </w:tc>
        <w:tc>
          <w:tcPr>
            <w:tcW w:w="4545" w:type="dxa"/>
            <w:tcMar>
              <w:top w:w="55" w:type="dxa"/>
              <w:left w:w="55" w:type="dxa"/>
              <w:bottom w:w="55" w:type="dxa"/>
              <w:right w:w="55" w:type="dxa"/>
            </w:tcMar>
          </w:tcPr>
          <w:p w:rsidR="004D62FA" w:rsidRPr="007063F6" w:rsidRDefault="004D62FA">
            <w:pPr>
              <w:spacing w:after="0" w:line="240" w:lineRule="auto"/>
              <w:ind w:hanging="2"/>
            </w:pPr>
            <w:r w:rsidRPr="004D62FA">
              <w:t xml:space="preserve">The diameter of the </w:t>
            </w:r>
            <w:r>
              <w:t>header</w:t>
            </w:r>
            <w:r w:rsidRPr="004D62FA">
              <w:t>'s rim</w:t>
            </w:r>
          </w:p>
        </w:tc>
        <w:tc>
          <w:tcPr>
            <w:tcW w:w="4245" w:type="dxa"/>
          </w:tcPr>
          <w:p w:rsidR="004D62FA" w:rsidRDefault="004D62FA" w:rsidP="007063F6">
            <w:pPr>
              <w:spacing w:after="0" w:line="240" w:lineRule="auto"/>
              <w:ind w:hanging="2"/>
            </w:pPr>
            <w:r>
              <w:t>Fi 13,4</w:t>
            </w:r>
            <w:r w:rsidRPr="007063F6">
              <w:t>±</w:t>
            </w:r>
            <w:r>
              <w:t>0.1mm</w:t>
            </w:r>
          </w:p>
        </w:tc>
      </w:tr>
    </w:tbl>
    <w:p w:rsidR="00C40516" w:rsidRDefault="00C40516">
      <w:pPr>
        <w:spacing w:after="0" w:line="360" w:lineRule="auto"/>
      </w:pPr>
      <w:bookmarkStart w:id="3" w:name="_GoBack"/>
      <w:bookmarkEnd w:id="2"/>
      <w:bookmarkEnd w:id="3"/>
    </w:p>
    <w:p w:rsidR="007063F6" w:rsidRDefault="007063F6" w:rsidP="007063F6">
      <w:pPr>
        <w:spacing w:after="0" w:line="360" w:lineRule="auto"/>
      </w:pPr>
      <w:r>
        <w:t>5.2 CPV</w:t>
      </w:r>
    </w:p>
    <w:p w:rsidR="007063F6" w:rsidRDefault="007063F6" w:rsidP="007063F6">
      <w:pPr>
        <w:spacing w:after="0" w:line="360" w:lineRule="auto"/>
      </w:pPr>
      <w:r>
        <w:t xml:space="preserve">CPV - 31711100-4 Electronical elements </w:t>
      </w:r>
    </w:p>
    <w:p w:rsidR="00C40516" w:rsidRDefault="00C40516">
      <w:pPr>
        <w:spacing w:after="0" w:line="360" w:lineRule="auto"/>
      </w:pPr>
    </w:p>
    <w:sectPr w:rsidR="00C40516">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62" w:rsidRDefault="00DF7F62">
      <w:pPr>
        <w:spacing w:after="0" w:line="240" w:lineRule="auto"/>
      </w:pPr>
      <w:r>
        <w:separator/>
      </w:r>
    </w:p>
  </w:endnote>
  <w:endnote w:type="continuationSeparator" w:id="0">
    <w:p w:rsidR="00DF7F62" w:rsidRDefault="00DF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C4051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C4051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C4051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62" w:rsidRDefault="00DF7F62">
      <w:pPr>
        <w:spacing w:after="0" w:line="240" w:lineRule="auto"/>
      </w:pPr>
      <w:r>
        <w:separator/>
      </w:r>
    </w:p>
  </w:footnote>
  <w:footnote w:type="continuationSeparator" w:id="0">
    <w:p w:rsidR="00DF7F62" w:rsidRDefault="00DF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C4051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E37EE8">
    <w:pPr>
      <w:spacing w:after="160" w:line="259" w:lineRule="auto"/>
      <w:jc w:val="center"/>
      <w:rPr>
        <w:color w:val="000000"/>
      </w:rPr>
    </w:pPr>
    <w:r>
      <w:rPr>
        <w:b/>
        <w:noProof/>
        <w:sz w:val="28"/>
        <w:szCs w:val="28"/>
      </w:rPr>
      <w:drawing>
        <wp:inline distT="0" distB="0" distL="0" distR="0">
          <wp:extent cx="5760720" cy="6775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16" w:rsidRDefault="00C4051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866"/>
    <w:multiLevelType w:val="multilevel"/>
    <w:tmpl w:val="0194C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E90E14"/>
    <w:multiLevelType w:val="multilevel"/>
    <w:tmpl w:val="8AF44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BC7458"/>
    <w:multiLevelType w:val="multilevel"/>
    <w:tmpl w:val="3570811A"/>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16"/>
    <w:rsid w:val="001139D3"/>
    <w:rsid w:val="004D62FA"/>
    <w:rsid w:val="007063F6"/>
    <w:rsid w:val="00C40516"/>
    <w:rsid w:val="00C558FE"/>
    <w:rsid w:val="00DF7F62"/>
    <w:rsid w:val="00E37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C329"/>
  <w15:docId w15:val="{0F21A36C-9193-4F56-8725-E3430CC2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28" w:type="dxa"/>
        <w:left w:w="70" w:type="dxa"/>
        <w:bottom w:w="28" w:type="dxa"/>
        <w:right w:w="70" w:type="dxa"/>
      </w:tblCellMar>
    </w:tblPr>
  </w:style>
  <w:style w:type="table" w:customStyle="1" w:styleId="a0">
    <w:basedOn w:val="TableNormal2"/>
    <w:tblPr>
      <w:tblStyleRowBandSize w:val="1"/>
      <w:tblStyleColBandSize w:val="1"/>
      <w:tblCellMar>
        <w:top w:w="28" w:type="dxa"/>
        <w:left w:w="70" w:type="dxa"/>
        <w:bottom w:w="28" w:type="dxa"/>
        <w:right w:w="70" w:type="dxa"/>
      </w:tblCellMar>
    </w:tblPr>
  </w:style>
  <w:style w:type="paragraph" w:styleId="Akapitzlist">
    <w:name w:val="List Paragraph"/>
    <w:basedOn w:val="Normalny"/>
    <w:uiPriority w:val="34"/>
    <w:qFormat/>
    <w:rsid w:val="00894AF5"/>
    <w:pPr>
      <w:ind w:left="720"/>
      <w:contextualSpacing/>
    </w:pPr>
  </w:style>
  <w:style w:type="paragraph" w:styleId="Tekstprzypisukocowego">
    <w:name w:val="endnote text"/>
    <w:basedOn w:val="Normalny"/>
    <w:link w:val="TekstprzypisukocowegoZnak"/>
    <w:uiPriority w:val="99"/>
    <w:semiHidden/>
    <w:unhideWhenUsed/>
    <w:rsid w:val="006252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2C5"/>
    <w:rPr>
      <w:sz w:val="20"/>
      <w:szCs w:val="20"/>
    </w:rPr>
  </w:style>
  <w:style w:type="character" w:styleId="Odwoanieprzypisukocowego">
    <w:name w:val="endnote reference"/>
    <w:basedOn w:val="Domylnaczcionkaakapitu"/>
    <w:uiPriority w:val="99"/>
    <w:semiHidden/>
    <w:unhideWhenUsed/>
    <w:rsid w:val="006252C5"/>
    <w:rPr>
      <w:vertAlign w:val="superscript"/>
    </w:rPr>
  </w:style>
  <w:style w:type="table" w:customStyle="1" w:styleId="a1">
    <w:basedOn w:val="TableNormal2"/>
    <w:tblPr>
      <w:tblStyleRowBandSize w:val="1"/>
      <w:tblStyleColBandSize w:val="1"/>
      <w:tblCellMar>
        <w:top w:w="28" w:type="dxa"/>
        <w:left w:w="70" w:type="dxa"/>
        <w:bottom w:w="28" w:type="dxa"/>
        <w:right w:w="70" w:type="dxa"/>
      </w:tblCellMar>
    </w:tblPr>
  </w:style>
  <w:style w:type="table" w:customStyle="1" w:styleId="a2">
    <w:basedOn w:val="TableNormal2"/>
    <w:tblPr>
      <w:tblStyleRowBandSize w:val="1"/>
      <w:tblStyleColBandSize w:val="1"/>
      <w:tblCellMar>
        <w:top w:w="28" w:type="dxa"/>
        <w:left w:w="70" w:type="dxa"/>
        <w:bottom w:w="28" w:type="dxa"/>
        <w:right w:w="70" w:type="dxa"/>
      </w:tblCellMar>
    </w:tblPr>
  </w:style>
  <w:style w:type="table" w:customStyle="1" w:styleId="a3">
    <w:basedOn w:val="TableNormal2"/>
    <w:tblPr>
      <w:tblStyleRowBandSize w:val="1"/>
      <w:tblStyleColBandSize w:val="1"/>
      <w:tblCellMar>
        <w:top w:w="28" w:type="dxa"/>
        <w:left w:w="70" w:type="dxa"/>
        <w:bottom w:w="28" w:type="dxa"/>
        <w:right w:w="70" w:type="dxa"/>
      </w:tblCellMar>
    </w:tblPr>
  </w:style>
  <w:style w:type="table" w:customStyle="1" w:styleId="a4">
    <w:basedOn w:val="TableNormal2"/>
    <w:tblPr>
      <w:tblStyleRowBandSize w:val="1"/>
      <w:tblStyleColBandSize w:val="1"/>
      <w:tblCellMar>
        <w:top w:w="28" w:type="dxa"/>
        <w:left w:w="70" w:type="dxa"/>
        <w:bottom w:w="28"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2rC2BjgVamtV9TZIXtJoww2Jw==">AMUW2mXUwl6UEf2gefDP3YSpLGKNGKoBIgrDKx9Jqg61cxi4y2l7isdNZIijm/7Gfnt0JVmP86nH4BdGm+u31FX+gI96P0o49r8LrvQQU1it6TKJcOAkLBoC/N3UHtKOQMZuYtMsHeih2EuttmMlUwDudKcmUOLvibPkHCmNOhR5gKy1j7cw3o8QhJA2QgYr78RCVvUaK4t5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Ropelewski</dc:creator>
  <cp:lastModifiedBy>Marta Świątkowska</cp:lastModifiedBy>
  <cp:revision>4</cp:revision>
  <dcterms:created xsi:type="dcterms:W3CDTF">2021-11-03T11:15:00Z</dcterms:created>
  <dcterms:modified xsi:type="dcterms:W3CDTF">2021-11-03T13:41:00Z</dcterms:modified>
</cp:coreProperties>
</file>