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bookmarkStart w:colFirst="0" w:colLast="0" w:name="_heading=h.gjdgxs" w:id="0"/>
      <w:bookmarkEnd w:id="0"/>
      <w:r w:rsidDel="00000000" w:rsidR="00000000" w:rsidRPr="00000000">
        <w:rPr>
          <w:rFonts w:ascii="Times New Roman" w:cs="Times New Roman" w:eastAsia="Times New Roman" w:hAnsi="Times New Roman"/>
          <w:color w:val="000000"/>
          <w:sz w:val="22"/>
          <w:szCs w:val="22"/>
          <w:rtl w:val="0"/>
        </w:rPr>
        <w:t xml:space="preserve">Attachment no. 2</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480" w:line="240" w:lineRule="auto"/>
        <w:ind w:left="0" w:hanging="2"/>
        <w:jc w:val="right"/>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[place […………•], [date] [………………•]</w:t>
      </w:r>
    </w:p>
    <w:tbl>
      <w:tblPr>
        <w:tblStyle w:val="Table1"/>
        <w:tblW w:w="4414.0" w:type="dxa"/>
        <w:jc w:val="left"/>
        <w:tblInd w:w="0.0" w:type="dxa"/>
        <w:tblLayout w:type="fixed"/>
        <w:tblLook w:val="0000"/>
      </w:tblPr>
      <w:tblGrid>
        <w:gridCol w:w="4414"/>
        <w:tblGridChange w:id="0">
          <w:tblGrid>
            <w:gridCol w:w="4414"/>
          </w:tblGrid>
        </w:tblGridChange>
      </w:tblGrid>
      <w:tr>
        <w:trPr>
          <w:cantSplit w:val="0"/>
          <w:trHeight w:val="443" w:hRule="atLeast"/>
          <w:tblHeader w:val="0"/>
        </w:trPr>
        <w:tc>
          <w:tcPr/>
          <w:p w:rsidR="00000000" w:rsidDel="00000000" w:rsidP="00000000" w:rsidRDefault="00000000" w:rsidRPr="00000000" w14:paraId="00000003">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u w:val="single"/>
              </w:rPr>
            </w:pPr>
            <w:r w:rsidDel="00000000" w:rsidR="00000000" w:rsidRPr="00000000">
              <w:rPr>
                <w:rFonts w:ascii="Times New Roman" w:cs="Times New Roman" w:eastAsia="Times New Roman" w:hAnsi="Times New Roman"/>
                <w:b w:val="1"/>
                <w:color w:val="000000"/>
                <w:sz w:val="22"/>
                <w:szCs w:val="22"/>
                <w:u w:val="single"/>
                <w:rtl w:val="0"/>
              </w:rPr>
              <w:t xml:space="preserve">Contractor:</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[Name / address / registry court / KRS [National Court Register]</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number / NIP [Tax ID]</w:t>
            </w:r>
            <w:r w:rsidDel="00000000" w:rsidR="00000000" w:rsidRPr="00000000">
              <w:rPr>
                <w:rFonts w:ascii="Times New Roman" w:cs="Times New Roman" w:eastAsia="Times New Roman" w:hAnsi="Times New Roman"/>
                <w:i w:val="1"/>
                <w:color w:val="000000"/>
                <w:sz w:val="22"/>
                <w:szCs w:val="22"/>
                <w:rtl w:val="0"/>
              </w:rPr>
              <w:t xml:space="preserve"> </w:t>
            </w:r>
            <w:r w:rsidDel="00000000" w:rsidR="00000000" w:rsidRPr="00000000">
              <w:rPr>
                <w:rFonts w:ascii="Times New Roman" w:cs="Times New Roman" w:eastAsia="Times New Roman" w:hAnsi="Times New Roman"/>
                <w:color w:val="000000"/>
                <w:sz w:val="22"/>
                <w:szCs w:val="22"/>
                <w:rtl w:val="0"/>
              </w:rPr>
              <w:t xml:space="preserve">/ REGON [Statistical Register Number] / contact person / e-mail address / telephone number]</w:t>
            </w:r>
          </w:p>
        </w:tc>
      </w:tr>
    </w:tbl>
    <w:p w:rsidR="00000000" w:rsidDel="00000000" w:rsidP="00000000" w:rsidRDefault="00000000" w:rsidRPr="00000000" w14:paraId="00000005">
      <w:pPr>
        <w:numPr>
          <w:ilvl w:val="0"/>
          <w:numId w:val="3"/>
        </w:numPr>
        <w:pBdr>
          <w:top w:space="0" w:sz="0" w:val="nil"/>
          <w:left w:space="0" w:sz="0" w:val="nil"/>
          <w:bottom w:space="0" w:sz="0" w:val="nil"/>
          <w:right w:space="0" w:sz="0" w:val="nil"/>
          <w:between w:space="0" w:sz="0" w:val="nil"/>
        </w:pBdr>
        <w:spacing w:after="240" w:before="2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u w:val="single"/>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VIGO System Spółka Akcyjna, Joint-Stock Company with its registered office in Ożarów Mazowiecki, ul. Poznańska 129/133, 05-850 Ożarów Mazowiecki, entered into the Register of Entrepreneurs of the National Court Register kept by the District Court for the Capital City of Warsaw in Warsaw, 14</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Commercial Division of the National Court Register, KRS (National Court Register) No. 0000113394, NIP (Tax ID): 5270207340, REGON (Statistical Register Number): 010265179, with the share capital of PLN 729,000.00 (paid up in full)</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60" w:before="240" w:line="240" w:lineRule="auto"/>
        <w:ind w:left="0" w:hanging="2"/>
        <w:jc w:val="center"/>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FORM </w:t>
        <w:br w:type="textWrapping"/>
        <w:t xml:space="preserve">FOR THE REQUEST FOR PROPOSALS OF </w:t>
      </w:r>
      <w:r w:rsidDel="00000000" w:rsidR="00000000" w:rsidRPr="00000000">
        <w:rPr>
          <w:rFonts w:ascii="Times New Roman" w:cs="Times New Roman" w:eastAsia="Times New Roman" w:hAnsi="Times New Roman"/>
          <w:b w:val="1"/>
          <w:sz w:val="22"/>
          <w:szCs w:val="22"/>
          <w:rtl w:val="0"/>
        </w:rPr>
        <w:t xml:space="preserve">10</w:t>
      </w:r>
      <w:r w:rsidDel="00000000" w:rsidR="00000000" w:rsidRPr="00000000">
        <w:rPr>
          <w:rFonts w:ascii="Times New Roman" w:cs="Times New Roman" w:eastAsia="Times New Roman" w:hAnsi="Times New Roman"/>
          <w:b w:val="1"/>
          <w:color w:val="000000"/>
          <w:sz w:val="22"/>
          <w:szCs w:val="22"/>
          <w:vertAlign w:val="superscript"/>
          <w:rtl w:val="0"/>
        </w:rPr>
        <w:t xml:space="preserve">th</w:t>
      </w:r>
      <w:r w:rsidDel="00000000" w:rsidR="00000000" w:rsidRPr="00000000">
        <w:rPr>
          <w:rFonts w:ascii="Times New Roman" w:cs="Times New Roman" w:eastAsia="Times New Roman" w:hAnsi="Times New Roman"/>
          <w:b w:val="1"/>
          <w:color w:val="000000"/>
          <w:sz w:val="22"/>
          <w:szCs w:val="22"/>
          <w:rtl w:val="0"/>
        </w:rPr>
        <w:t xml:space="preserve"> November 2021</w:t>
        <w:br w:type="textWrapping"/>
        <w:t xml:space="preserve"> No. RPO-WG/</w:t>
      </w:r>
      <w:r w:rsidDel="00000000" w:rsidR="00000000" w:rsidRPr="00000000">
        <w:rPr>
          <w:rFonts w:ascii="Times New Roman" w:cs="Times New Roman" w:eastAsia="Times New Roman" w:hAnsi="Times New Roman"/>
          <w:b w:val="1"/>
          <w:sz w:val="22"/>
          <w:szCs w:val="22"/>
          <w:rtl w:val="0"/>
        </w:rPr>
        <w:t xml:space="preserve">23</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80" w:line="290" w:lineRule="auto"/>
        <w:ind w:left="0" w:hanging="2"/>
        <w:jc w:val="both"/>
        <w:rPr>
          <w:rFonts w:ascii="Times New Roman" w:cs="Times New Roman" w:eastAsia="Times New Roman" w:hAnsi="Times New Roman"/>
          <w:sz w:val="22"/>
          <w:szCs w:val="22"/>
        </w:rPr>
      </w:pPr>
      <w:bookmarkStart w:colFirst="0" w:colLast="0" w:name="_heading=h.bw6sve5b3jgu" w:id="1"/>
      <w:bookmarkEnd w:id="1"/>
      <w:r w:rsidDel="00000000" w:rsidR="00000000" w:rsidRPr="00000000">
        <w:rPr>
          <w:rFonts w:ascii="Times New Roman" w:cs="Times New Roman" w:eastAsia="Times New Roman" w:hAnsi="Times New Roman"/>
          <w:color w:val="000000"/>
          <w:sz w:val="22"/>
          <w:szCs w:val="22"/>
          <w:rtl w:val="0"/>
        </w:rPr>
        <w:t xml:space="preserve">I, the undersigned ………………………………[•], acting as ………………………………[•]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Contractor</w:t>
      </w:r>
      <w:r w:rsidDel="00000000" w:rsidR="00000000" w:rsidRPr="00000000">
        <w:rPr>
          <w:rFonts w:ascii="Times New Roman" w:cs="Times New Roman" w:eastAsia="Times New Roman" w:hAnsi="Times New Roman"/>
          <w:color w:val="000000"/>
          <w:sz w:val="22"/>
          <w:szCs w:val="22"/>
          <w:rtl w:val="0"/>
        </w:rPr>
        <w:t xml:space="preserve">”), in response to the request for proposals of </w:t>
      </w:r>
      <w:r w:rsidDel="00000000" w:rsidR="00000000" w:rsidRPr="00000000">
        <w:rPr>
          <w:rFonts w:ascii="Times New Roman" w:cs="Times New Roman" w:eastAsia="Times New Roman" w:hAnsi="Times New Roman"/>
          <w:sz w:val="22"/>
          <w:szCs w:val="22"/>
          <w:rtl w:val="0"/>
        </w:rPr>
        <w:t xml:space="preserve">10</w:t>
      </w:r>
      <w:r w:rsidDel="00000000" w:rsidR="00000000" w:rsidRPr="00000000">
        <w:rPr>
          <w:rFonts w:ascii="Times New Roman" w:cs="Times New Roman" w:eastAsia="Times New Roman" w:hAnsi="Times New Roman"/>
          <w:color w:val="000000"/>
          <w:sz w:val="22"/>
          <w:szCs w:val="22"/>
          <w:vertAlign w:val="superscript"/>
          <w:rtl w:val="0"/>
        </w:rPr>
        <w:t xml:space="preserve">th</w:t>
      </w:r>
      <w:r w:rsidDel="00000000" w:rsidR="00000000" w:rsidRPr="00000000">
        <w:rPr>
          <w:rFonts w:ascii="Times New Roman" w:cs="Times New Roman" w:eastAsia="Times New Roman" w:hAnsi="Times New Roman"/>
          <w:color w:val="000000"/>
          <w:sz w:val="22"/>
          <w:szCs w:val="22"/>
          <w:rtl w:val="0"/>
        </w:rPr>
        <w:t xml:space="preserve"> November 2021 no. RPO-WG/</w:t>
      </w:r>
      <w:r w:rsidDel="00000000" w:rsidR="00000000" w:rsidRPr="00000000">
        <w:rPr>
          <w:rFonts w:ascii="Times New Roman" w:cs="Times New Roman" w:eastAsia="Times New Roman" w:hAnsi="Times New Roman"/>
          <w:sz w:val="22"/>
          <w:szCs w:val="22"/>
          <w:rtl w:val="0"/>
        </w:rPr>
        <w:t xml:space="preserve">23 </w:t>
      </w:r>
      <w:r w:rsidDel="00000000" w:rsidR="00000000" w:rsidRPr="00000000">
        <w:rPr>
          <w:rFonts w:ascii="Times New Roman" w:cs="Times New Roman" w:eastAsia="Times New Roman" w:hAnsi="Times New Roman"/>
          <w:color w:val="000000"/>
          <w:sz w:val="22"/>
          <w:szCs w:val="22"/>
          <w:rtl w:val="0"/>
        </w:rPr>
        <w:t xml:space="preserve">(hereinafter referred to as the “</w:t>
      </w:r>
      <w:r w:rsidDel="00000000" w:rsidR="00000000" w:rsidRPr="00000000">
        <w:rPr>
          <w:rFonts w:ascii="Times New Roman" w:cs="Times New Roman" w:eastAsia="Times New Roman" w:hAnsi="Times New Roman"/>
          <w:b w:val="1"/>
          <w:color w:val="000000"/>
          <w:sz w:val="22"/>
          <w:szCs w:val="22"/>
          <w:rtl w:val="0"/>
        </w:rPr>
        <w:t xml:space="preserve">Request for Proposals</w:t>
      </w:r>
      <w:r w:rsidDel="00000000" w:rsidR="00000000" w:rsidRPr="00000000">
        <w:rPr>
          <w:rFonts w:ascii="Times New Roman" w:cs="Times New Roman" w:eastAsia="Times New Roman" w:hAnsi="Times New Roman"/>
          <w:color w:val="000000"/>
          <w:sz w:val="22"/>
          <w:szCs w:val="22"/>
          <w:rtl w:val="0"/>
        </w:rPr>
        <w:t xml:space="preserve">”), hereby submit a proposal for a supply of</w:t>
      </w:r>
      <w:r w:rsidDel="00000000" w:rsidR="00000000" w:rsidRPr="00000000">
        <w:rPr>
          <w:rFonts w:ascii="Times New Roman" w:cs="Times New Roman" w:eastAsia="Times New Roman" w:hAnsi="Times New Roman"/>
          <w:sz w:val="22"/>
          <w:szCs w:val="22"/>
          <w:rtl w:val="0"/>
        </w:rPr>
        <w:t xml:space="preserve"> 300 pcs. of TO8 headers</w:t>
      </w:r>
      <w:r w:rsidDel="00000000" w:rsidR="00000000" w:rsidRPr="00000000">
        <w:rPr>
          <w:rFonts w:ascii="Times New Roman" w:cs="Times New Roman" w:eastAsia="Times New Roman" w:hAnsi="Times New Roman"/>
          <w:color w:val="000000"/>
          <w:sz w:val="22"/>
          <w:szCs w:val="22"/>
          <w:rtl w:val="0"/>
        </w:rPr>
        <w:t xml:space="preserve">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w:t>
      </w:r>
      <w:r w:rsidDel="00000000" w:rsidR="00000000" w:rsidRPr="00000000">
        <w:rPr>
          <w:rFonts w:ascii="Times New Roman" w:cs="Times New Roman" w:eastAsia="Times New Roman" w:hAnsi="Times New Roman"/>
          <w:color w:val="000000"/>
          <w:sz w:val="22"/>
          <w:szCs w:val="22"/>
          <w:rtl w:val="0"/>
        </w:rPr>
        <w:t xml:space="preserve">”) for an implementation by VIGO System Spółka Akcyjna, Joint-Stock Company with registered office in Ożarów Mazowiecki (hereinafter referred to as the “</w:t>
      </w:r>
      <w:r w:rsidDel="00000000" w:rsidR="00000000" w:rsidRPr="00000000">
        <w:rPr>
          <w:rFonts w:ascii="Times New Roman" w:cs="Times New Roman" w:eastAsia="Times New Roman" w:hAnsi="Times New Roman"/>
          <w:b w:val="1"/>
          <w:color w:val="000000"/>
          <w:sz w:val="22"/>
          <w:szCs w:val="22"/>
          <w:rtl w:val="0"/>
        </w:rPr>
        <w:t xml:space="preserve">Contracting Party”</w:t>
      </w:r>
      <w:r w:rsidDel="00000000" w:rsidR="00000000" w:rsidRPr="00000000">
        <w:rPr>
          <w:rFonts w:ascii="Times New Roman" w:cs="Times New Roman" w:eastAsia="Times New Roman" w:hAnsi="Times New Roman"/>
          <w:color w:val="000000"/>
          <w:sz w:val="22"/>
          <w:szCs w:val="22"/>
          <w:rtl w:val="0"/>
        </w:rPr>
        <w:t xml:space="preserve">) of a project called “Multi-element infrared detectors for non-contact multifunctional diagnostics” within the Regional Operational Programme of Mazovia Province 2014 – 2020 (RPO WM 2014 – 2020), application number: RPMA.01.02.00-14-b451/18 Agreement February 28, 2020, </w:t>
        <w:br w:type="textWrapping"/>
        <w:t xml:space="preserve">No. RPMA.01.02.00-14-b451/18 concluded with the Mazovian Unit for the Implementation of EU Programmes – in accordance with the terms and conditions of the Contract described in the Request for Proposals.</w:t>
      </w:r>
      <w:r w:rsidDel="00000000" w:rsidR="00000000" w:rsidRPr="00000000">
        <w:rPr>
          <w:rtl w:val="0"/>
        </w:rPr>
      </w:r>
    </w:p>
    <w:p w:rsidR="00000000" w:rsidDel="00000000" w:rsidP="00000000" w:rsidRDefault="00000000" w:rsidRPr="00000000" w14:paraId="00000009">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Total price offered for the Subject of the Contract</w:t>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bookmarkStart w:colFirst="0" w:colLast="0" w:name="_heading=h.1fob9te" w:id="2"/>
      <w:bookmarkEnd w:id="2"/>
      <w:r w:rsidDel="00000000" w:rsidR="00000000" w:rsidRPr="00000000">
        <w:rPr>
          <w:rFonts w:ascii="Times New Roman" w:cs="Times New Roman" w:eastAsia="Times New Roman" w:hAnsi="Times New Roman"/>
          <w:color w:val="000000"/>
          <w:sz w:val="22"/>
          <w:szCs w:val="22"/>
          <w:rtl w:val="0"/>
        </w:rPr>
        <w:t xml:space="preserve">Net Price: [………………………•] (in words: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Gross Price: [………………………•]  (in words: [………………………•]).</w:t>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Value Added Tax: [………………………•] (in words: [………………………•]).</w:t>
      </w:r>
    </w:p>
    <w:p w:rsidR="00000000" w:rsidDel="00000000" w:rsidP="00000000" w:rsidRDefault="00000000" w:rsidRPr="00000000" w14:paraId="0000000D">
      <w:pPr>
        <w:keepNext w:val="1"/>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u w:val="single"/>
        </w:rPr>
      </w:pPr>
      <w:r w:rsidDel="00000000" w:rsidR="00000000" w:rsidRPr="00000000">
        <w:rPr>
          <w:rFonts w:ascii="Times New Roman" w:cs="Times New Roman" w:eastAsia="Times New Roman" w:hAnsi="Times New Roman"/>
          <w:b w:val="1"/>
          <w:color w:val="000000"/>
          <w:sz w:val="22"/>
          <w:szCs w:val="22"/>
          <w:rtl w:val="0"/>
        </w:rPr>
        <w:t xml:space="preserve">Acceptance table (fill yes/no):</w:t>
      </w:r>
      <w:r w:rsidDel="00000000" w:rsidR="00000000" w:rsidRPr="00000000">
        <w:rPr>
          <w:rFonts w:ascii="Times New Roman" w:cs="Times New Roman" w:eastAsia="Times New Roman" w:hAnsi="Times New Roman"/>
          <w:color w:val="000000"/>
          <w:sz w:val="22"/>
          <w:szCs w:val="22"/>
          <w:u w:val="single"/>
          <w:rtl w:val="0"/>
        </w:rPr>
        <w:t xml:space="preserve"> </w:t>
      </w:r>
      <w:r w:rsidDel="00000000" w:rsidR="00000000" w:rsidRPr="00000000">
        <w:rPr>
          <w:rtl w:val="0"/>
        </w:rPr>
      </w:r>
    </w:p>
    <w:tbl>
      <w:tblPr>
        <w:tblStyle w:val="Table2"/>
        <w:tblW w:w="10587.0" w:type="dxa"/>
        <w:jc w:val="left"/>
        <w:tblInd w:w="-66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15"/>
        <w:gridCol w:w="2835"/>
        <w:gridCol w:w="4394"/>
        <w:gridCol w:w="1843"/>
        <w:tblGridChange w:id="0">
          <w:tblGrid>
            <w:gridCol w:w="1515"/>
            <w:gridCol w:w="2835"/>
            <w:gridCol w:w="4394"/>
            <w:gridCol w:w="1843"/>
          </w:tblGrid>
        </w:tblGridChange>
      </w:tblGrid>
      <w:tr>
        <w:trPr>
          <w:cantSplit w:val="0"/>
          <w:trHeight w:val="240" w:hRule="atLeast"/>
          <w:tblHeader w:val="0"/>
        </w:trPr>
        <w:tc>
          <w:tcPr>
            <w:shd w:fill="dddddd" w:val="clear"/>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bookmarkStart w:colFirst="0" w:colLast="0" w:name="_heading=h.2et92p0" w:id="3"/>
            <w:bookmarkEnd w:id="3"/>
            <w:r w:rsidDel="00000000" w:rsidR="00000000" w:rsidRPr="00000000">
              <w:rPr>
                <w:color w:val="000000"/>
                <w:sz w:val="16"/>
                <w:szCs w:val="16"/>
                <w:rtl w:val="0"/>
              </w:rPr>
              <w:t xml:space="preserve">Product name</w:t>
            </w:r>
          </w:p>
        </w:tc>
        <w:tc>
          <w:tcPr>
            <w:shd w:fill="dddddd" w:val="clear"/>
            <w:tcMar>
              <w:top w:w="55.0" w:type="dxa"/>
              <w:left w:w="55.0" w:type="dxa"/>
              <w:bottom w:w="55.0" w:type="dxa"/>
              <w:right w:w="55.0" w:type="dxa"/>
            </w:tcMar>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Parameter </w:t>
            </w:r>
          </w:p>
        </w:tc>
        <w:tc>
          <w:tcPr>
            <w:shd w:fill="dddddd" w:val="clear"/>
          </w:tcPr>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Specification</w:t>
            </w:r>
          </w:p>
        </w:tc>
        <w:tc>
          <w:tcPr>
            <w:shd w:fill="dddddd" w:val="clear"/>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left="0" w:hanging="2"/>
              <w:rPr>
                <w:color w:val="000000"/>
                <w:sz w:val="16"/>
                <w:szCs w:val="16"/>
              </w:rPr>
            </w:pPr>
            <w:r w:rsidDel="00000000" w:rsidR="00000000" w:rsidRPr="00000000">
              <w:rPr>
                <w:color w:val="000000"/>
                <w:sz w:val="16"/>
                <w:szCs w:val="16"/>
                <w:rtl w:val="0"/>
              </w:rPr>
              <w:t xml:space="preserve">Yes/no</w:t>
            </w:r>
          </w:p>
        </w:tc>
      </w:tr>
      <w:tr>
        <w:trPr>
          <w:cantSplit w:val="0"/>
          <w:trHeight w:val="20" w:hRule="atLeast"/>
          <w:tblHeader w:val="0"/>
        </w:trPr>
        <w:tc>
          <w:tcPr>
            <w:vMerge w:val="restart"/>
            <w:vAlign w:val="center"/>
          </w:tcPr>
          <w:p w:rsidR="00000000" w:rsidDel="00000000" w:rsidP="00000000" w:rsidRDefault="00000000" w:rsidRPr="00000000" w14:paraId="00000012">
            <w:pPr>
              <w:widowControl w:val="0"/>
              <w:spacing w:line="240" w:lineRule="auto"/>
              <w:ind w:left="0" w:hanging="2"/>
              <w:rPr/>
            </w:pPr>
            <w:r w:rsidDel="00000000" w:rsidR="00000000" w:rsidRPr="00000000">
              <w:rPr>
                <w:rtl w:val="0"/>
              </w:rPr>
              <w:t xml:space="preserve">Header </w:t>
            </w:r>
          </w:p>
          <w:p w:rsidR="00000000" w:rsidDel="00000000" w:rsidP="00000000" w:rsidRDefault="00000000" w:rsidRPr="00000000" w14:paraId="00000013">
            <w:pPr>
              <w:widowControl w:val="0"/>
              <w:spacing w:line="240" w:lineRule="auto"/>
              <w:ind w:left="0" w:hanging="2"/>
              <w:rPr>
                <w:b w:val="1"/>
              </w:rPr>
            </w:pPr>
            <w:r w:rsidDel="00000000" w:rsidR="00000000" w:rsidRPr="00000000">
              <w:rPr>
                <w:rtl w:val="0"/>
              </w:rPr>
              <w:t xml:space="preserve">TO8-12 pin</w:t>
            </w: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4">
            <w:pPr>
              <w:spacing w:line="240" w:lineRule="auto"/>
              <w:ind w:left="0" w:hanging="2"/>
              <w:rPr/>
            </w:pPr>
            <w:r w:rsidDel="00000000" w:rsidR="00000000" w:rsidRPr="00000000">
              <w:rPr>
                <w:rtl w:val="0"/>
              </w:rPr>
              <w:t xml:space="preserve">Header type</w:t>
            </w:r>
          </w:p>
        </w:tc>
        <w:tc>
          <w:tcPr/>
          <w:p w:rsidR="00000000" w:rsidDel="00000000" w:rsidP="00000000" w:rsidRDefault="00000000" w:rsidRPr="00000000" w14:paraId="00000015">
            <w:pPr>
              <w:spacing w:line="240" w:lineRule="auto"/>
              <w:ind w:left="0" w:hanging="2"/>
              <w:rPr/>
            </w:pPr>
            <w:r w:rsidDel="00000000" w:rsidR="00000000" w:rsidRPr="00000000">
              <w:rPr>
                <w:rtl w:val="0"/>
              </w:rPr>
              <w:t xml:space="preserve">TO8</w:t>
            </w:r>
          </w:p>
        </w:tc>
        <w:tc>
          <w:tcPr/>
          <w:p w:rsidR="00000000" w:rsidDel="00000000" w:rsidP="00000000" w:rsidRDefault="00000000" w:rsidRPr="00000000" w14:paraId="00000016">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8">
            <w:pPr>
              <w:spacing w:line="240" w:lineRule="auto"/>
              <w:ind w:left="0" w:hanging="2"/>
              <w:rPr/>
            </w:pPr>
            <w:r w:rsidDel="00000000" w:rsidR="00000000" w:rsidRPr="00000000">
              <w:rPr>
                <w:rtl w:val="0"/>
              </w:rPr>
              <w:t xml:space="preserve">Number of the pins</w:t>
            </w:r>
          </w:p>
        </w:tc>
        <w:tc>
          <w:tcPr/>
          <w:p w:rsidR="00000000" w:rsidDel="00000000" w:rsidP="00000000" w:rsidRDefault="00000000" w:rsidRPr="00000000" w14:paraId="00000019">
            <w:pPr>
              <w:spacing w:line="240" w:lineRule="auto"/>
              <w:ind w:left="0" w:hanging="2"/>
              <w:rPr/>
            </w:pPr>
            <w:r w:rsidDel="00000000" w:rsidR="00000000" w:rsidRPr="00000000">
              <w:rPr>
                <w:rtl w:val="0"/>
              </w:rPr>
              <w:t xml:space="preserve">12 pin, including 1 ground pin (pin 11)</w:t>
            </w:r>
          </w:p>
        </w:tc>
        <w:tc>
          <w:tcPr/>
          <w:p w:rsidR="00000000" w:rsidDel="00000000" w:rsidP="00000000" w:rsidRDefault="00000000" w:rsidRPr="00000000" w14:paraId="0000001A">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1C">
            <w:pPr>
              <w:spacing w:line="240" w:lineRule="auto"/>
              <w:ind w:left="0" w:hanging="2"/>
              <w:rPr/>
            </w:pPr>
            <w:r w:rsidDel="00000000" w:rsidR="00000000" w:rsidRPr="00000000">
              <w:rPr>
                <w:rtl w:val="0"/>
              </w:rPr>
              <w:t xml:space="preserve">Header material</w:t>
            </w:r>
          </w:p>
        </w:tc>
        <w:tc>
          <w:tcPr/>
          <w:p w:rsidR="00000000" w:rsidDel="00000000" w:rsidP="00000000" w:rsidRDefault="00000000" w:rsidRPr="00000000" w14:paraId="0000001D">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1E">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0">
            <w:pPr>
              <w:spacing w:line="240" w:lineRule="auto"/>
              <w:ind w:left="0" w:hanging="2"/>
              <w:rPr/>
            </w:pPr>
            <w:r w:rsidDel="00000000" w:rsidR="00000000" w:rsidRPr="00000000">
              <w:rPr>
                <w:rtl w:val="0"/>
              </w:rPr>
              <w:t xml:space="preserve">Metallization of the header</w:t>
            </w:r>
          </w:p>
        </w:tc>
        <w:tc>
          <w:tcPr/>
          <w:p w:rsidR="00000000" w:rsidDel="00000000" w:rsidP="00000000" w:rsidRDefault="00000000" w:rsidRPr="00000000" w14:paraId="00000021">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22">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2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line="240" w:lineRule="auto"/>
              <w:ind w:left="0" w:hanging="2"/>
              <w:rPr/>
            </w:pPr>
            <w:r w:rsidDel="00000000" w:rsidR="00000000" w:rsidRPr="00000000">
              <w:rPr>
                <w:rtl w:val="0"/>
              </w:rPr>
              <w:t xml:space="preserve">Pin material</w:t>
            </w:r>
          </w:p>
        </w:tc>
        <w:tc>
          <w:tcPr/>
          <w:p w:rsidR="00000000" w:rsidDel="00000000" w:rsidP="00000000" w:rsidRDefault="00000000" w:rsidRPr="00000000" w14:paraId="00000026">
            <w:pPr>
              <w:spacing w:line="240" w:lineRule="auto"/>
              <w:ind w:left="0" w:hanging="2"/>
              <w:rPr/>
            </w:pPr>
            <w:r w:rsidDel="00000000" w:rsidR="00000000" w:rsidRPr="00000000">
              <w:rPr>
                <w:rtl w:val="0"/>
              </w:rPr>
              <w:t xml:space="preserve">Kovar (alloy complying with ASTM F-15)</w:t>
            </w:r>
          </w:p>
        </w:tc>
        <w:tc>
          <w:tcPr/>
          <w:p w:rsidR="00000000" w:rsidDel="00000000" w:rsidP="00000000" w:rsidRDefault="00000000" w:rsidRPr="00000000" w14:paraId="00000027">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9">
            <w:pPr>
              <w:spacing w:line="240" w:lineRule="auto"/>
              <w:ind w:left="0" w:hanging="2"/>
              <w:rPr/>
            </w:pPr>
            <w:r w:rsidDel="00000000" w:rsidR="00000000" w:rsidRPr="00000000">
              <w:rPr>
                <w:rtl w:val="0"/>
              </w:rPr>
              <w:t xml:space="preserve">Metallization of the pins</w:t>
            </w:r>
          </w:p>
        </w:tc>
        <w:tc>
          <w:tcPr/>
          <w:p w:rsidR="00000000" w:rsidDel="00000000" w:rsidP="00000000" w:rsidRDefault="00000000" w:rsidRPr="00000000" w14:paraId="0000002A">
            <w:pPr>
              <w:spacing w:line="240" w:lineRule="auto"/>
              <w:ind w:left="0" w:hanging="2"/>
              <w:rPr/>
            </w:pPr>
            <w:r w:rsidDel="00000000" w:rsidR="00000000" w:rsidRPr="00000000">
              <w:rPr>
                <w:rtl w:val="0"/>
              </w:rPr>
              <w:t xml:space="preserve">1.Ni layer - metallization thickness 1.27-3.8 μm</w:t>
            </w:r>
          </w:p>
          <w:p w:rsidR="00000000" w:rsidDel="00000000" w:rsidP="00000000" w:rsidRDefault="00000000" w:rsidRPr="00000000" w14:paraId="0000002B">
            <w:pPr>
              <w:spacing w:line="240" w:lineRule="auto"/>
              <w:ind w:left="0" w:hanging="2"/>
              <w:rPr/>
            </w:pPr>
            <w:r w:rsidDel="00000000" w:rsidR="00000000" w:rsidRPr="00000000">
              <w:rPr>
                <w:rtl w:val="0"/>
              </w:rPr>
              <w:t xml:space="preserve">2. Au layer - metallization thickness&gt; 1.27 μm</w:t>
            </w:r>
          </w:p>
        </w:tc>
        <w:tc>
          <w:tcPr/>
          <w:p w:rsidR="00000000" w:rsidDel="00000000" w:rsidP="00000000" w:rsidRDefault="00000000" w:rsidRPr="00000000" w14:paraId="0000002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E">
            <w:pPr>
              <w:spacing w:line="240" w:lineRule="auto"/>
              <w:ind w:left="0" w:hanging="2"/>
              <w:rPr/>
            </w:pPr>
            <w:r w:rsidDel="00000000" w:rsidR="00000000" w:rsidRPr="00000000">
              <w:rPr>
                <w:rtl w:val="0"/>
              </w:rPr>
              <w:t xml:space="preserve">Mounting screw</w:t>
            </w:r>
          </w:p>
        </w:tc>
        <w:tc>
          <w:tcPr/>
          <w:p w:rsidR="00000000" w:rsidDel="00000000" w:rsidP="00000000" w:rsidRDefault="00000000" w:rsidRPr="00000000" w14:paraId="0000002F">
            <w:pPr>
              <w:spacing w:line="240" w:lineRule="auto"/>
              <w:ind w:left="0" w:hanging="2"/>
              <w:rPr/>
            </w:pPr>
            <w:r w:rsidDel="00000000" w:rsidR="00000000" w:rsidRPr="00000000">
              <w:rPr>
                <w:rtl w:val="0"/>
              </w:rPr>
              <w:t xml:space="preserve">Screw material - CRS (cold rolled steel)</w:t>
            </w:r>
          </w:p>
          <w:p w:rsidR="00000000" w:rsidDel="00000000" w:rsidP="00000000" w:rsidRDefault="00000000" w:rsidRPr="00000000" w14:paraId="00000030">
            <w:pPr>
              <w:spacing w:line="240" w:lineRule="auto"/>
              <w:ind w:left="0" w:hanging="2"/>
              <w:rPr/>
            </w:pPr>
            <w:r w:rsidDel="00000000" w:rsidR="00000000" w:rsidRPr="00000000">
              <w:rPr>
                <w:rtl w:val="0"/>
              </w:rPr>
              <w:t xml:space="preserve">Bolt thread - 4-40 UNC</w:t>
            </w:r>
          </w:p>
          <w:p w:rsidR="00000000" w:rsidDel="00000000" w:rsidP="00000000" w:rsidRDefault="00000000" w:rsidRPr="00000000" w14:paraId="00000031">
            <w:pPr>
              <w:spacing w:line="240" w:lineRule="auto"/>
              <w:ind w:left="0" w:hanging="2"/>
              <w:rPr/>
            </w:pPr>
            <w:r w:rsidDel="00000000" w:rsidR="00000000" w:rsidRPr="00000000">
              <w:rPr>
                <w:rtl w:val="0"/>
              </w:rPr>
              <w:t xml:space="preserve">Screw length - 6.4 ± 0.2 mm</w:t>
            </w:r>
          </w:p>
          <w:p w:rsidR="00000000" w:rsidDel="00000000" w:rsidP="00000000" w:rsidRDefault="00000000" w:rsidRPr="00000000" w14:paraId="00000032">
            <w:pPr>
              <w:spacing w:line="240" w:lineRule="auto"/>
              <w:ind w:left="0" w:hanging="2"/>
              <w:rPr/>
            </w:pPr>
            <w:r w:rsidDel="00000000" w:rsidR="00000000" w:rsidRPr="00000000">
              <w:rPr>
                <w:rtl w:val="0"/>
              </w:rPr>
              <w:t xml:space="preserve">A screw is mounted to the bottom of the header</w:t>
            </w:r>
          </w:p>
        </w:tc>
        <w:tc>
          <w:tcPr/>
          <w:p w:rsidR="00000000" w:rsidDel="00000000" w:rsidP="00000000" w:rsidRDefault="00000000" w:rsidRPr="00000000" w14:paraId="00000033">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5">
            <w:pPr>
              <w:spacing w:line="240" w:lineRule="auto"/>
              <w:ind w:left="0" w:hanging="2"/>
              <w:rPr/>
            </w:pPr>
            <w:r w:rsidDel="00000000" w:rsidR="00000000" w:rsidRPr="00000000">
              <w:rPr>
                <w:rtl w:val="0"/>
              </w:rPr>
              <w:t xml:space="preserve">Header sealing</w:t>
            </w:r>
          </w:p>
        </w:tc>
        <w:tc>
          <w:tcPr/>
          <w:p w:rsidR="00000000" w:rsidDel="00000000" w:rsidP="00000000" w:rsidRDefault="00000000" w:rsidRPr="00000000" w14:paraId="00000036">
            <w:pPr>
              <w:spacing w:line="240" w:lineRule="auto"/>
              <w:ind w:left="0" w:hanging="2"/>
              <w:rPr/>
            </w:pPr>
            <w:r w:rsidDel="00000000" w:rsidR="00000000" w:rsidRPr="00000000">
              <w:rPr>
                <w:rtl w:val="0"/>
              </w:rPr>
              <w:t xml:space="preserve">Electrically non-conductive, non-transparent, helium leakage of a sealing material less than </w:t>
            </w:r>
          </w:p>
          <w:p w:rsidR="00000000" w:rsidDel="00000000" w:rsidP="00000000" w:rsidRDefault="00000000" w:rsidRPr="00000000" w14:paraId="00000037">
            <w:pPr>
              <w:spacing w:line="240" w:lineRule="auto"/>
              <w:ind w:left="0" w:hanging="2"/>
              <w:rPr/>
            </w:pPr>
            <w:r w:rsidDel="00000000" w:rsidR="00000000" w:rsidRPr="00000000">
              <w:rPr>
                <w:rtl w:val="0"/>
              </w:rPr>
              <w:t xml:space="preserve">10-8 mbar * l / s - e.g. Corning 7052 or equivalent</w:t>
            </w:r>
          </w:p>
        </w:tc>
        <w:tc>
          <w:tcPr/>
          <w:p w:rsidR="00000000" w:rsidDel="00000000" w:rsidP="00000000" w:rsidRDefault="00000000" w:rsidRPr="00000000" w14:paraId="00000038">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A">
            <w:pPr>
              <w:spacing w:line="240" w:lineRule="auto"/>
              <w:ind w:left="0" w:hanging="2"/>
              <w:rPr/>
            </w:pPr>
            <w:r w:rsidDel="00000000" w:rsidR="00000000" w:rsidRPr="00000000">
              <w:rPr>
                <w:rtl w:val="0"/>
              </w:rPr>
              <w:t xml:space="preserve">The internal length of the pins (from the mounting surface of the cooler)</w:t>
            </w:r>
          </w:p>
        </w:tc>
        <w:tc>
          <w:tcPr/>
          <w:p w:rsidR="00000000" w:rsidDel="00000000" w:rsidP="00000000" w:rsidRDefault="00000000" w:rsidRPr="00000000" w14:paraId="0000003B">
            <w:pPr>
              <w:spacing w:line="240" w:lineRule="auto"/>
              <w:ind w:left="0" w:hanging="2"/>
              <w:rPr/>
            </w:pPr>
            <w:r w:rsidDel="00000000" w:rsidR="00000000" w:rsidRPr="00000000">
              <w:rPr>
                <w:rtl w:val="0"/>
              </w:rPr>
              <w:t xml:space="preserve">2,54±0,1 mm</w:t>
            </w:r>
          </w:p>
        </w:tc>
        <w:tc>
          <w:tcPr/>
          <w:p w:rsidR="00000000" w:rsidDel="00000000" w:rsidP="00000000" w:rsidRDefault="00000000" w:rsidRPr="00000000" w14:paraId="0000003C">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E">
            <w:pPr>
              <w:spacing w:line="240" w:lineRule="auto"/>
              <w:ind w:left="0" w:hanging="2"/>
              <w:rPr/>
            </w:pPr>
            <w:r w:rsidDel="00000000" w:rsidR="00000000" w:rsidRPr="00000000">
              <w:rPr>
                <w:rtl w:val="0"/>
              </w:rPr>
              <w:t xml:space="preserve">Pin surface roughness</w:t>
            </w:r>
          </w:p>
        </w:tc>
        <w:tc>
          <w:tcPr/>
          <w:p w:rsidR="00000000" w:rsidDel="00000000" w:rsidP="00000000" w:rsidRDefault="00000000" w:rsidRPr="00000000" w14:paraId="0000003F">
            <w:pPr>
              <w:spacing w:line="240" w:lineRule="auto"/>
              <w:ind w:left="0" w:hanging="2"/>
              <w:rPr/>
            </w:pPr>
            <w:r w:rsidDel="00000000" w:rsidR="00000000" w:rsidRPr="00000000">
              <w:rPr>
                <w:rtl w:val="0"/>
              </w:rPr>
              <w:t xml:space="preserve">Ra 0.8 or better</w:t>
            </w:r>
          </w:p>
        </w:tc>
        <w:tc>
          <w:tcPr/>
          <w:p w:rsidR="00000000" w:rsidDel="00000000" w:rsidP="00000000" w:rsidRDefault="00000000" w:rsidRPr="00000000" w14:paraId="00000040">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2">
            <w:pPr>
              <w:spacing w:line="240" w:lineRule="auto"/>
              <w:ind w:left="0" w:hanging="2"/>
              <w:rPr/>
            </w:pPr>
            <w:r w:rsidDel="00000000" w:rsidR="00000000" w:rsidRPr="00000000">
              <w:rPr>
                <w:rtl w:val="0"/>
              </w:rPr>
              <w:t xml:space="preserve">The outer length of the pins (from the surface with the thread mounted)</w:t>
            </w:r>
          </w:p>
        </w:tc>
        <w:tc>
          <w:tcPr/>
          <w:p w:rsidR="00000000" w:rsidDel="00000000" w:rsidP="00000000" w:rsidRDefault="00000000" w:rsidRPr="00000000" w14:paraId="00000043">
            <w:pPr>
              <w:spacing w:line="240" w:lineRule="auto"/>
              <w:ind w:left="0" w:hanging="2"/>
              <w:rPr/>
            </w:pPr>
            <w:r w:rsidDel="00000000" w:rsidR="00000000" w:rsidRPr="00000000">
              <w:rPr>
                <w:rtl w:val="0"/>
              </w:rPr>
              <w:t xml:space="preserve">7,9±0,3 mm</w:t>
            </w:r>
          </w:p>
        </w:tc>
        <w:tc>
          <w:tcPr/>
          <w:p w:rsidR="00000000" w:rsidDel="00000000" w:rsidP="00000000" w:rsidRDefault="00000000" w:rsidRPr="00000000" w14:paraId="00000044">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6">
            <w:pPr>
              <w:spacing w:line="240" w:lineRule="auto"/>
              <w:ind w:left="0" w:hanging="2"/>
              <w:rPr/>
            </w:pPr>
            <w:r w:rsidDel="00000000" w:rsidR="00000000" w:rsidRPr="00000000">
              <w:rPr>
                <w:rtl w:val="0"/>
              </w:rPr>
              <w:t xml:space="preserve">Outer diameter of the header</w:t>
            </w:r>
          </w:p>
        </w:tc>
        <w:tc>
          <w:tcPr/>
          <w:p w:rsidR="00000000" w:rsidDel="00000000" w:rsidP="00000000" w:rsidRDefault="00000000" w:rsidRPr="00000000" w14:paraId="00000047">
            <w:pPr>
              <w:spacing w:line="240" w:lineRule="auto"/>
              <w:ind w:left="0" w:hanging="2"/>
              <w:rPr/>
            </w:pPr>
            <w:r w:rsidDel="00000000" w:rsidR="00000000" w:rsidRPr="00000000">
              <w:rPr>
                <w:rtl w:val="0"/>
              </w:rPr>
              <w:t xml:space="preserve">Fi 15,24 ± 0.1mm</w:t>
            </w:r>
          </w:p>
        </w:tc>
        <w:tc>
          <w:tcPr/>
          <w:p w:rsidR="00000000" w:rsidDel="00000000" w:rsidP="00000000" w:rsidRDefault="00000000" w:rsidRPr="00000000" w14:paraId="00000048">
            <w:pPr>
              <w:spacing w:line="240" w:lineRule="auto"/>
              <w:ind w:left="0" w:hanging="2"/>
              <w:rPr/>
            </w:pPr>
            <w:r w:rsidDel="00000000" w:rsidR="00000000" w:rsidRPr="00000000">
              <w:rPr>
                <w:rtl w:val="0"/>
              </w:rPr>
            </w:r>
          </w:p>
        </w:tc>
      </w:tr>
      <w:tr>
        <w:trPr>
          <w:cantSplit w:val="0"/>
          <w:trHeight w:val="20" w:hRule="atLeast"/>
          <w:tblHeader w:val="0"/>
        </w:trPr>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A">
            <w:pPr>
              <w:spacing w:line="240" w:lineRule="auto"/>
              <w:ind w:left="0" w:hanging="2"/>
              <w:rPr/>
            </w:pPr>
            <w:r w:rsidDel="00000000" w:rsidR="00000000" w:rsidRPr="00000000">
              <w:rPr>
                <w:rtl w:val="0"/>
              </w:rPr>
              <w:t xml:space="preserve">The diameter of the header's rim</w:t>
            </w:r>
          </w:p>
        </w:tc>
        <w:tc>
          <w:tcPr/>
          <w:p w:rsidR="00000000" w:rsidDel="00000000" w:rsidP="00000000" w:rsidRDefault="00000000" w:rsidRPr="00000000" w14:paraId="0000004B">
            <w:pPr>
              <w:spacing w:line="240" w:lineRule="auto"/>
              <w:ind w:left="0" w:hanging="2"/>
              <w:rPr/>
            </w:pPr>
            <w:r w:rsidDel="00000000" w:rsidR="00000000" w:rsidRPr="00000000">
              <w:rPr>
                <w:rtl w:val="0"/>
              </w:rPr>
              <w:t xml:space="preserve">Fi 13,4±0.1mm</w:t>
            </w:r>
          </w:p>
        </w:tc>
        <w:tc>
          <w:tcPr/>
          <w:p w:rsidR="00000000" w:rsidDel="00000000" w:rsidP="00000000" w:rsidRDefault="00000000" w:rsidRPr="00000000" w14:paraId="0000004C">
            <w:pPr>
              <w:spacing w:line="240" w:lineRule="auto"/>
              <w:ind w:left="0" w:hanging="2"/>
              <w:rPr/>
            </w:pPr>
            <w:r w:rsidDel="00000000" w:rsidR="00000000" w:rsidRPr="00000000">
              <w:rPr>
                <w:rtl w:val="0"/>
              </w:rPr>
            </w:r>
          </w:p>
        </w:tc>
      </w:tr>
    </w:tbl>
    <w:p w:rsidR="00000000" w:rsidDel="00000000" w:rsidP="00000000" w:rsidRDefault="00000000" w:rsidRPr="00000000" w14:paraId="0000004D">
      <w:pPr>
        <w:spacing w:line="360" w:lineRule="auto"/>
        <w:ind w:left="0" w:hanging="2"/>
        <w:rPr>
          <w:b w:val="1"/>
          <w:sz w:val="22"/>
          <w:szCs w:val="22"/>
          <w:u w:val="single"/>
        </w:rPr>
      </w:pPr>
      <w:r w:rsidDel="00000000" w:rsidR="00000000" w:rsidRPr="00000000">
        <w:rPr>
          <w:rtl w:val="0"/>
        </w:rPr>
      </w:r>
    </w:p>
    <w:p w:rsidR="00000000" w:rsidDel="00000000" w:rsidP="00000000" w:rsidRDefault="00000000" w:rsidRPr="00000000" w14:paraId="0000004E">
      <w:pPr>
        <w:spacing w:line="360" w:lineRule="auto"/>
        <w:ind w:left="0" w:hanging="2"/>
        <w:rPr>
          <w:rFonts w:ascii="Times New Roman" w:cs="Times New Roman" w:eastAsia="Times New Roman" w:hAnsi="Times New Roman"/>
          <w:sz w:val="22"/>
          <w:szCs w:val="22"/>
          <w:u w:val="single"/>
        </w:rPr>
      </w:pPr>
      <w:r w:rsidDel="00000000" w:rsidR="00000000" w:rsidRPr="00000000">
        <w:rPr>
          <w:rtl w:val="0"/>
        </w:rPr>
      </w:r>
    </w:p>
    <w:p w:rsidR="00000000" w:rsidDel="00000000" w:rsidP="00000000" w:rsidRDefault="00000000" w:rsidRPr="00000000" w14:paraId="0000004F">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Proposal Validity Period</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validity period of the proposal is 30 days from the expiry of the offer submission deadline, indicated in the Request for Proposals.</w:t>
      </w:r>
    </w:p>
    <w:p w:rsidR="00000000" w:rsidDel="00000000" w:rsidP="00000000" w:rsidRDefault="00000000" w:rsidRPr="00000000" w14:paraId="00000051">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Contact Person</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 telephone number  [………………………•], e-mail  [………………………•].</w:t>
      </w:r>
    </w:p>
    <w:p w:rsidR="00000000" w:rsidDel="00000000" w:rsidP="00000000" w:rsidRDefault="00000000" w:rsidRPr="00000000" w14:paraId="00000053">
      <w:pPr>
        <w:keepNext w:val="1"/>
        <w:numPr>
          <w:ilvl w:val="0"/>
          <w:numId w:val="2"/>
        </w:numPr>
        <w:pBdr>
          <w:top w:space="0" w:sz="0" w:val="nil"/>
          <w:left w:space="0" w:sz="0" w:val="nil"/>
          <w:bottom w:space="0" w:sz="0" w:val="nil"/>
          <w:right w:space="0" w:sz="0" w:val="nil"/>
          <w:between w:space="0" w:sz="0" w:val="nil"/>
        </w:pBdr>
        <w:spacing w:after="140" w:before="280" w:line="290" w:lineRule="auto"/>
        <w:ind w:left="0" w:hanging="2"/>
        <w:jc w:val="both"/>
        <w:rPr>
          <w:rFonts w:ascii="Times New Roman" w:cs="Times New Roman" w:eastAsia="Times New Roman" w:hAnsi="Times New Roman"/>
          <w:b w:val="1"/>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Declaration</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having read the Request for Proposals, particularly the terms and conditions of the Contract performance, contract, and does not raise any objections and also confirms the receipt of all the information necessary to prepare the following proposal and to perform the Contract.</w:t>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If the following proposal is considered to be the most favorable one, the Contractor undertakes to sign the contract with the Ordering Party at the time and in the place indicated by the Ordering Party.</w:t>
      </w:r>
    </w:p>
    <w:p w:rsidR="00000000" w:rsidDel="00000000" w:rsidP="00000000" w:rsidRDefault="00000000" w:rsidRPr="00000000" w14:paraId="00000056">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agrees to perform the Contract described in the Request for Proposals in accordance with the requirements included in the Request for Proposals and with mandatory provisions of law and acting with due diligence.</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Contractor declares as follows:</w:t>
      </w:r>
    </w:p>
    <w:p w:rsidR="00000000" w:rsidDel="00000000" w:rsidP="00000000" w:rsidRDefault="00000000" w:rsidRPr="00000000" w14:paraId="00000058">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offered product completely complies with the specification included in the description of the subject of the contract;</w:t>
      </w:r>
    </w:p>
    <w:p w:rsidR="00000000" w:rsidDel="00000000" w:rsidP="00000000" w:rsidRDefault="00000000" w:rsidRPr="00000000" w14:paraId="00000059">
      <w:pPr>
        <w:numPr>
          <w:ilvl w:val="2"/>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the product will be delivered in terms required in Request of Proposals </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Documents attached to this proposal constitute an integral part hereof.</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b w:val="1"/>
          <w:color w:val="000000"/>
          <w:sz w:val="22"/>
          <w:szCs w:val="22"/>
          <w:rtl w:val="0"/>
        </w:rPr>
        <w:t xml:space="preserve">Contractor’s Signature</w:t>
      </w: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___________________________</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pacing w:after="1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Attachments:</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Extract from the Economic Operator's National Court Register / Extract from the Economic Operator's CEIDG / other registration document appropriate for the Contractor coming from the registration authority indicating the persons authorized to represent the Contractor.</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Power of attorney (if the offer is submitted by a proxy) Appendix No. 6 to the request for proposals;</w:t>
      </w:r>
    </w:p>
    <w:p w:rsidR="00000000" w:rsidDel="00000000" w:rsidP="00000000" w:rsidRDefault="00000000" w:rsidRPr="00000000" w14:paraId="00000063">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Contractor's declaration on meeting the conditions for participation in the procedure Appendix 4 to the request for proposals;</w:t>
      </w:r>
    </w:p>
    <w:p w:rsidR="00000000" w:rsidDel="00000000" w:rsidP="00000000" w:rsidRDefault="00000000" w:rsidRPr="00000000" w14:paraId="00000064">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bookmarkStart w:colFirst="0" w:colLast="0" w:name="_heading=h.tyjcwt" w:id="4"/>
      <w:bookmarkEnd w:id="4"/>
      <w:r w:rsidDel="00000000" w:rsidR="00000000" w:rsidRPr="00000000">
        <w:rPr>
          <w:rFonts w:ascii="Times New Roman" w:cs="Times New Roman" w:eastAsia="Times New Roman" w:hAnsi="Times New Roman"/>
          <w:color w:val="000000"/>
          <w:sz w:val="22"/>
          <w:szCs w:val="22"/>
          <w:rtl w:val="0"/>
        </w:rPr>
        <w:t xml:space="preserve">The Contractor's declaration on the lack of connections – Appendix No. 5 to the request for proposals;</w:t>
      </w:r>
    </w:p>
    <w:p w:rsidR="00000000" w:rsidDel="00000000" w:rsidP="00000000" w:rsidRDefault="00000000" w:rsidRPr="00000000" w14:paraId="00000065">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Description of the offered product;</w:t>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GDPR statement – Appendix No. 7 to the inquiry.</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left" w:pos="1123"/>
        </w:tabs>
        <w:spacing w:after="40" w:line="290" w:lineRule="auto"/>
        <w:ind w:left="0" w:hanging="2"/>
        <w:jc w:val="both"/>
        <w:rPr>
          <w:rFonts w:ascii="Times New Roman" w:cs="Times New Roman" w:eastAsia="Times New Roman" w:hAnsi="Times New Roman"/>
          <w:color w:val="000000"/>
          <w:sz w:val="22"/>
          <w:szCs w:val="22"/>
        </w:rPr>
      </w:pPr>
      <w:r w:rsidDel="00000000" w:rsidR="00000000" w:rsidRPr="00000000">
        <w:rPr>
          <w:rtl w:val="0"/>
        </w:rPr>
      </w:r>
    </w:p>
    <w:sectPr>
      <w:headerReference r:id="rId7" w:type="default"/>
      <w:headerReference r:id="rId8" w:type="first"/>
      <w:footerReference r:id="rId9" w:type="default"/>
      <w:footerReference r:id="rId10" w:type="first"/>
      <w:pgSz w:h="16840" w:w="1190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color w:val="00000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40" w:lineRule="auto"/>
      <w:ind w:left="0" w:hanging="2"/>
      <w:rPr>
        <w:color w:val="000000"/>
      </w:rPr>
    </w:pPr>
    <w:r w:rsidDel="00000000" w:rsidR="00000000" w:rsidRPr="00000000">
      <w:rPr>
        <w:b w:val="1"/>
        <w:color w:val="000000"/>
      </w:rPr>
      <w:drawing>
        <wp:inline distB="0" distT="0" distL="114300" distR="114300">
          <wp:extent cx="6197600" cy="526415"/>
          <wp:effectExtent b="0" l="0" r="0" t="0"/>
          <wp:docPr descr="https://lh6.googleusercontent.com/XnDdrqx8P0df6INIXKuImHwYIe2MRQXpWeOAwU9veSTaIXmMbipCHAw1vc91ktREwH-gJN55X5mpy3pNHI6lGVP_NS_KQgaOh3b-jkWofujuiNW1GGYhfoipPNkkpAARSS0BJLg" id="1031" name="image1.png"/>
          <a:graphic>
            <a:graphicData uri="http://schemas.openxmlformats.org/drawingml/2006/picture">
              <pic:pic>
                <pic:nvPicPr>
                  <pic:cNvPr descr="https://lh6.googleusercontent.com/XnDdrqx8P0df6INIXKuImHwYIe2MRQXpWeOAwU9veSTaIXmMbipCHAw1vc91ktREwH-gJN55X5mpy3pNHI6lGVP_NS_KQgaOh3b-jkWofujuiNW1GGYhfoipPNkkpAARSS0BJLg" id="0" name="image1.png"/>
                  <pic:cNvPicPr preferRelativeResize="0"/>
                </pic:nvPicPr>
                <pic:blipFill>
                  <a:blip r:embed="rId1"/>
                  <a:srcRect b="0" l="0" r="0" t="0"/>
                  <a:stretch>
                    <a:fillRect/>
                  </a:stretch>
                </pic:blipFill>
                <pic:spPr>
                  <a:xfrm>
                    <a:off x="0" y="0"/>
                    <a:ext cx="6197600" cy="526415"/>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line="240" w:lineRule="auto"/>
      <w:ind w:left="0" w:hanging="2"/>
      <w:jc w:val="center"/>
      <w:rPr>
        <w:color w:val="000000"/>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30"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2.0000000298023224"/>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5562600</wp:posOffset>
              </wp:positionH>
              <wp:positionV relativeFrom="paragraph">
                <wp:posOffset>304800</wp:posOffset>
              </wp:positionV>
              <wp:extent cx="904875" cy="370840"/>
              <wp:effectExtent b="0" l="0" r="0" t="0"/>
              <wp:wrapSquare wrapText="bothSides" distB="0" distT="0" distL="0" distR="0"/>
              <wp:docPr id="1030"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904875" cy="37084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2" w:hanging="562"/>
      </w:pPr>
      <w:rPr>
        <w:rFonts w:ascii="Arial" w:cs="Arial" w:eastAsia="Arial" w:hAnsi="Arial"/>
        <w:sz w:val="16"/>
        <w:szCs w:val="1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1962" w:hanging="567"/>
      </w:pPr>
      <w:rPr>
        <w:b w:val="1"/>
        <w:i w:val="0"/>
        <w:sz w:val="22"/>
        <w:szCs w:val="22"/>
        <w:vertAlign w:val="baseline"/>
      </w:rPr>
    </w:lvl>
    <w:lvl w:ilvl="1">
      <w:start w:val="1"/>
      <w:numFmt w:val="decimal"/>
      <w:lvlText w:val="%1.%2"/>
      <w:lvlJc w:val="left"/>
      <w:pPr>
        <w:ind w:left="2642" w:hanging="680"/>
      </w:pPr>
      <w:rPr>
        <w:b w:val="1"/>
        <w:i w:val="0"/>
        <w:sz w:val="21"/>
        <w:szCs w:val="21"/>
        <w:vertAlign w:val="baseline"/>
      </w:rPr>
    </w:lvl>
    <w:lvl w:ilvl="2">
      <w:start w:val="1"/>
      <w:numFmt w:val="decimal"/>
      <w:lvlText w:val="%1.%2.%3"/>
      <w:lvlJc w:val="left"/>
      <w:pPr>
        <w:ind w:left="3607" w:hanging="794.0000000000005"/>
      </w:pPr>
      <w:rPr>
        <w:b w:val="0"/>
        <w:i w:val="0"/>
        <w:sz w:val="22"/>
        <w:szCs w:val="22"/>
        <w:vertAlign w:val="baseline"/>
      </w:rPr>
    </w:lvl>
    <w:lvl w:ilvl="3">
      <w:start w:val="1"/>
      <w:numFmt w:val="decimal"/>
      <w:lvlText w:val="(%4)"/>
      <w:lvlJc w:val="left"/>
      <w:pPr>
        <w:ind w:left="4117" w:hanging="681"/>
      </w:pPr>
      <w:rPr>
        <w:rFonts w:ascii="Calibri" w:cs="Calibri" w:eastAsia="Calibri" w:hAnsi="Calibri"/>
        <w:sz w:val="22"/>
        <w:szCs w:val="22"/>
        <w:vertAlign w:val="baseline"/>
      </w:rPr>
    </w:lvl>
    <w:lvl w:ilvl="4">
      <w:start w:val="1"/>
      <w:numFmt w:val="lowerLetter"/>
      <w:lvlText w:val="(%5)"/>
      <w:lvlJc w:val="left"/>
      <w:pPr>
        <w:ind w:left="4684" w:hanging="567"/>
      </w:pPr>
      <w:rPr>
        <w:vertAlign w:val="baseline"/>
      </w:rPr>
    </w:lvl>
    <w:lvl w:ilvl="5">
      <w:start w:val="1"/>
      <w:numFmt w:val="upperRoman"/>
      <w:lvlText w:val="(%6)"/>
      <w:lvlJc w:val="left"/>
      <w:pPr>
        <w:ind w:left="5364" w:hanging="680"/>
      </w:pPr>
      <w:rPr>
        <w:vertAlign w:val="baseline"/>
      </w:rPr>
    </w:lvl>
    <w:lvl w:ilvl="6">
      <w:start w:val="1"/>
      <w:numFmt w:val="decimal"/>
      <w:lvlText w:val=""/>
      <w:lvlJc w:val="left"/>
      <w:pPr>
        <w:ind w:left="5364" w:hanging="680"/>
      </w:pPr>
      <w:rPr>
        <w:vertAlign w:val="baseline"/>
      </w:rPr>
    </w:lvl>
    <w:lvl w:ilvl="7">
      <w:start w:val="1"/>
      <w:numFmt w:val="decimal"/>
      <w:lvlText w:val=""/>
      <w:lvlJc w:val="left"/>
      <w:pPr>
        <w:ind w:left="5364" w:hanging="680"/>
      </w:pPr>
      <w:rPr>
        <w:vertAlign w:val="baseline"/>
      </w:rPr>
    </w:lvl>
    <w:lvl w:ilvl="8">
      <w:start w:val="1"/>
      <w:numFmt w:val="decimal"/>
      <w:lvlText w:val=""/>
      <w:lvlJc w:val="left"/>
      <w:pPr>
        <w:ind w:left="5364" w:hanging="680"/>
      </w:pPr>
      <w:rPr>
        <w:vertAlign w:val="baseline"/>
      </w:rPr>
    </w:lvl>
  </w:abstractNum>
  <w:abstractNum w:abstractNumId="3">
    <w:lvl w:ilvl="0">
      <w:start w:val="1"/>
      <w:numFmt w:val="bullet"/>
      <w:lvlText w:val="−"/>
      <w:lvlJc w:val="left"/>
      <w:pPr>
        <w:ind w:left="3456"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hanging="1"/>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hanging="1"/>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hanging="1"/>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hanging="1"/>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val="pl-PL"/>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Nagwek1Hoofdstukkop" w:customStyle="1">
    <w:name w:val="Nagłówek 1;Hoofdstukkop"/>
    <w:basedOn w:val="Normalny"/>
    <w:next w:val="Tekstpodstawowy"/>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GJTekstkomentarza" w:customStyle="1">
    <w:name w:val="Tekst komentarza;GJ Tekst komentarza"/>
    <w:basedOn w:val="Normalny"/>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
    <w:pPr>
      <w:keepLines w:val="1"/>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numPr>
        <w:numId w:val="1"/>
      </w:numPr>
      <w:spacing w:after="140" w:line="290" w:lineRule="auto"/>
      <w:ind w:left="-1" w:hanging="1"/>
      <w:jc w:val="both"/>
    </w:pPr>
    <w:rPr>
      <w:kern w:val="20"/>
    </w:rPr>
  </w:style>
  <w:style w:type="paragraph" w:styleId="GJZacznik2" w:customStyle="1">
    <w:name w:val="GJ Załącznik 2"/>
    <w:basedOn w:val="Normalny"/>
    <w:pPr>
      <w:numPr>
        <w:ilvl w:val="1"/>
        <w:numId w:val="1"/>
      </w:numPr>
      <w:spacing w:after="140" w:line="290" w:lineRule="auto"/>
      <w:ind w:left="-1" w:hanging="1"/>
      <w:jc w:val="both"/>
      <w:outlineLvl w:val="1"/>
    </w:pPr>
    <w:rPr>
      <w:kern w:val="20"/>
      <w:sz w:val="22"/>
      <w:szCs w:val="22"/>
    </w:rPr>
  </w:style>
  <w:style w:type="paragraph" w:styleId="GJZacznik3" w:customStyle="1">
    <w:name w:val="GJ Załącznik 3"/>
    <w:basedOn w:val="Normalny"/>
    <w:pPr>
      <w:numPr>
        <w:ilvl w:val="2"/>
        <w:numId w:val="1"/>
      </w:numPr>
      <w:spacing w:after="140" w:line="290" w:lineRule="auto"/>
      <w:ind w:left="-1" w:hanging="1"/>
      <w:jc w:val="both"/>
      <w:outlineLvl w:val="2"/>
    </w:pPr>
    <w:rPr>
      <w:kern w:val="20"/>
      <w:sz w:val="22"/>
      <w:szCs w:val="22"/>
    </w:rPr>
  </w:style>
  <w:style w:type="paragraph" w:styleId="GJZacznik4" w:customStyle="1">
    <w:name w:val="GJ Załącznik 4"/>
    <w:basedOn w:val="Normalny"/>
    <w:pPr>
      <w:numPr>
        <w:ilvl w:val="3"/>
        <w:numId w:val="1"/>
      </w:numPr>
      <w:spacing w:after="140" w:line="290" w:lineRule="auto"/>
      <w:ind w:left="-1" w:hanging="1"/>
      <w:jc w:val="both"/>
      <w:outlineLvl w:val="3"/>
    </w:pPr>
    <w:rPr>
      <w:kern w:val="20"/>
      <w:sz w:val="22"/>
      <w:szCs w:val="22"/>
    </w:rPr>
  </w:style>
  <w:style w:type="paragraph" w:styleId="GJZacznik5" w:customStyle="1">
    <w:name w:val="GJ Załącznik 5"/>
    <w:basedOn w:val="Normalny"/>
    <w:pPr>
      <w:numPr>
        <w:ilvl w:val="4"/>
        <w:numId w:val="1"/>
      </w:numPr>
      <w:spacing w:after="140" w:line="290" w:lineRule="auto"/>
      <w:ind w:left="-1" w:hanging="1"/>
      <w:jc w:val="both"/>
      <w:outlineLvl w:val="4"/>
    </w:pPr>
    <w:rPr>
      <w:kern w:val="20"/>
      <w:sz w:val="22"/>
      <w:szCs w:val="22"/>
    </w:rPr>
  </w:style>
  <w:style w:type="paragraph" w:styleId="GJZacznik6" w:customStyle="1">
    <w:name w:val="GJ Załącznik 6"/>
    <w:basedOn w:val="Normalny"/>
    <w:pPr>
      <w:numPr>
        <w:ilvl w:val="5"/>
        <w:numId w:val="1"/>
      </w:numPr>
      <w:spacing w:after="140" w:line="290" w:lineRule="auto"/>
      <w:ind w:left="-1" w:hanging="1"/>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numPr>
        <w:numId w:val="2"/>
      </w:numPr>
      <w:spacing w:after="140" w:line="290" w:lineRule="auto"/>
      <w:ind w:left="-1" w:hanging="1"/>
      <w:jc w:val="both"/>
    </w:pPr>
    <w:rPr>
      <w:kern w:val="20"/>
      <w:sz w:val="22"/>
      <w:szCs w:val="22"/>
    </w:rPr>
  </w:style>
  <w:style w:type="paragraph" w:styleId="GJRecitals" w:customStyle="1">
    <w:name w:val="GJ Recitals"/>
    <w:basedOn w:val="Normalny"/>
    <w:pPr>
      <w:numPr>
        <w:numId w:val="3"/>
      </w:numPr>
      <w:spacing w:after="140" w:line="290" w:lineRule="auto"/>
      <w:ind w:left="-1" w:hanging="1"/>
      <w:jc w:val="both"/>
    </w:pPr>
    <w:rPr>
      <w:kern w:val="20"/>
      <w:sz w:val="22"/>
      <w:szCs w:val="22"/>
    </w:rPr>
  </w:style>
  <w:style w:type="paragraph" w:styleId="Spistreci1GJSpistreci1" w:customStyle="1">
    <w:name w:val="Spis treści 1;GJ Spis treści 1"/>
    <w:basedOn w:val="Normalny"/>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numPr>
        <w:ilvl w:val="5"/>
        <w:numId w:val="4"/>
      </w:numPr>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numPr>
        <w:numId w:val="4"/>
      </w:numPr>
      <w:suppressAutoHyphens w:val="1"/>
      <w:spacing w:after="140" w:before="280" w:line="290" w:lineRule="auto"/>
      <w:ind w:left="-1" w:leftChars="-1" w:hanging="1" w:hangingChars="1"/>
      <w:jc w:val="both"/>
      <w:textDirection w:val="btLr"/>
      <w:textAlignment w:val="top"/>
      <w:outlineLvl w:val="0"/>
    </w:pPr>
    <w:rPr>
      <w:b w:val="1"/>
      <w:bCs w:val="1"/>
      <w:kern w:val="20"/>
      <w:position w:val="-1"/>
      <w:lang w:eastAsia="en-US" w:val="pl-PL"/>
    </w:rPr>
  </w:style>
  <w:style w:type="paragraph" w:styleId="GJPoziom2" w:customStyle="1">
    <w:name w:val="GJ Poziom 2"/>
    <w:pPr>
      <w:numPr>
        <w:ilvl w:val="1"/>
        <w:numId w:val="4"/>
      </w:numPr>
      <w:suppressAutoHyphens w:val="1"/>
      <w:spacing w:after="140" w:line="290" w:lineRule="auto"/>
      <w:ind w:left="-1" w:leftChars="-1" w:hanging="1" w:hangingChars="1"/>
      <w:jc w:val="both"/>
      <w:textDirection w:val="btLr"/>
      <w:textAlignment w:val="top"/>
      <w:outlineLvl w:val="1"/>
    </w:pPr>
    <w:rPr>
      <w:kern w:val="20"/>
      <w:position w:val="-1"/>
      <w:sz w:val="22"/>
      <w:szCs w:val="22"/>
      <w:lang w:val="pl-PL"/>
    </w:rPr>
  </w:style>
  <w:style w:type="paragraph" w:styleId="GJPoziom3" w:customStyle="1">
    <w:name w:val="GJ Poziom 3"/>
    <w:pPr>
      <w:numPr>
        <w:ilvl w:val="2"/>
        <w:numId w:val="4"/>
      </w:numPr>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numPr>
        <w:ilvl w:val="3"/>
        <w:numId w:val="4"/>
      </w:numPr>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numPr>
        <w:ilvl w:val="4"/>
        <w:numId w:val="4"/>
      </w:numPr>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HoofdstukkopZnak" w:customStyle="1">
    <w:name w:val="Nagłówek 1 Znak;Hoofdstukkop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567"/>
      </w:tabs>
      <w:spacing w:after="140" w:line="288" w:lineRule="auto"/>
      <w:ind w:left="567" w:leftChars="-1" w:hanging="567"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Datownik" w:customStyle="1">
    <w:name w:val="Datownik"/>
    <w:next w:val="Normalny"/>
    <w:pPr>
      <w:tabs>
        <w:tab w:val="decimal" w:pos="8640"/>
      </w:tabs>
      <w:suppressAutoHyphens w:val="1"/>
      <w:spacing w:after="480" w:line="1" w:lineRule="atLeast"/>
      <w:ind w:left="-1" w:leftChars="-1" w:hangingChars="1"/>
      <w:jc w:val="right"/>
      <w:textDirection w:val="btLr"/>
      <w:textAlignment w:val="top"/>
      <w:outlineLvl w:val="0"/>
    </w:pPr>
    <w:rPr>
      <w:kern w:val="20"/>
      <w:position w:val="-1"/>
      <w:sz w:val="22"/>
      <w:szCs w:val="22"/>
      <w:lang w:eastAsia="en-US" w:val="pl-PL"/>
    </w:rPr>
  </w:style>
  <w:style w:type="paragraph" w:styleId="GJAdresat" w:customStyle="1">
    <w:name w:val="GJ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TPAdresat" w:customStyle="1">
    <w:name w:val="TP Adresat"/>
    <w:pPr>
      <w:suppressAutoHyphens w:val="1"/>
      <w:spacing w:line="290" w:lineRule="auto"/>
      <w:ind w:left="-1" w:leftChars="-1" w:hangingChars="1"/>
      <w:contextualSpacing w:val="1"/>
      <w:jc w:val="both"/>
      <w:textDirection w:val="btLr"/>
      <w:textAlignment w:val="top"/>
      <w:outlineLvl w:val="0"/>
    </w:pPr>
    <w:rPr>
      <w:position w:val="-1"/>
      <w:sz w:val="22"/>
      <w:szCs w:val="22"/>
      <w:lang w:val="pl-PL"/>
    </w:rPr>
  </w:style>
  <w:style w:type="paragraph" w:styleId="GJNadawca" w:customStyle="1">
    <w:name w:val="GJ Nadawca"/>
    <w:next w:val="Tytu"/>
    <w:pPr>
      <w:tabs>
        <w:tab w:val="num" w:pos="720"/>
      </w:tabs>
      <w:suppressAutoHyphens w:val="1"/>
      <w:spacing w:after="240" w:before="240" w:line="290" w:lineRule="auto"/>
      <w:ind w:left="-1" w:leftChars="-1" w:hangingChars="1"/>
      <w:jc w:val="both"/>
      <w:textDirection w:val="btLr"/>
      <w:textAlignment w:val="top"/>
      <w:outlineLvl w:val="0"/>
    </w:pPr>
    <w:rPr>
      <w:position w:val="-1"/>
      <w:sz w:val="22"/>
      <w:szCs w:val="22"/>
      <w:lang w:val="pl-PL"/>
    </w:rPr>
  </w:style>
  <w:style w:type="paragraph" w:styleId="TPAkapit" w:customStyle="1">
    <w:name w:val="TP Akapit"/>
    <w:pPr>
      <w:suppressAutoHyphens w:val="1"/>
      <w:spacing w:after="80" w:line="290" w:lineRule="auto"/>
      <w:ind w:left="-1" w:leftChars="-1" w:hangingChars="1"/>
      <w:jc w:val="both"/>
      <w:textDirection w:val="btLr"/>
      <w:textAlignment w:val="top"/>
      <w:outlineLvl w:val="0"/>
    </w:pPr>
    <w:rPr>
      <w:kern w:val="20"/>
      <w:position w:val="-1"/>
      <w:sz w:val="22"/>
      <w:szCs w:val="22"/>
      <w:lang w:eastAsia="en-US" w:val="en-GB"/>
    </w:rPr>
  </w:style>
  <w:style w:type="paragraph" w:styleId="GJPunktyprostanumeracja" w:customStyle="1">
    <w:name w:val="GJ Punkty prosta numeracja"/>
    <w:basedOn w:val="Normalny"/>
    <w:pPr>
      <w:widowControl w:val="0"/>
      <w:tabs>
        <w:tab w:val="left" w:pos="562"/>
        <w:tab w:val="num" w:pos="720"/>
      </w:tabs>
      <w:spacing w:after="120" w:before="120" w:line="288" w:lineRule="auto"/>
      <w:ind w:left="562" w:hanging="562"/>
      <w:jc w:val="both"/>
    </w:pPr>
    <w:rPr>
      <w:kern w:val="32"/>
      <w:sz w:val="22"/>
      <w:szCs w:val="22"/>
      <w:lang w:eastAsia="pl-PL"/>
    </w:rPr>
  </w:style>
  <w:style w:type="paragraph" w:styleId="GJPunkty1" w:customStyle="1">
    <w:name w:val="GJ Punkty 1"/>
    <w:basedOn w:val="Normalny"/>
    <w:next w:val="Normalny"/>
    <w:pPr>
      <w:widowControl w:val="0"/>
      <w:spacing w:after="140" w:before="280" w:line="290" w:lineRule="auto"/>
      <w:ind w:left="562" w:hanging="562"/>
      <w:jc w:val="both"/>
    </w:pPr>
    <w:rPr>
      <w:kern w:val="20"/>
      <w:sz w:val="22"/>
      <w:szCs w:val="22"/>
      <w:u w:val="single"/>
    </w:rPr>
  </w:style>
  <w:style w:type="paragraph" w:styleId="GJPunkty2" w:customStyle="1">
    <w:name w:val="GJ Punkty 2"/>
    <w:basedOn w:val="Normalny"/>
    <w:pPr>
      <w:spacing w:after="140" w:line="290" w:lineRule="auto"/>
      <w:ind w:left="562" w:hanging="562"/>
      <w:jc w:val="both"/>
      <w:outlineLvl w:val="1"/>
    </w:pPr>
    <w:rPr>
      <w:kern w:val="20"/>
      <w:sz w:val="22"/>
      <w:szCs w:val="22"/>
      <w:lang w:eastAsia="pl-PL"/>
    </w:rPr>
  </w:style>
  <w:style w:type="paragraph" w:styleId="GJPunkty3" w:customStyle="1">
    <w:name w:val="GJ Punkty 3"/>
    <w:basedOn w:val="Normalny"/>
    <w:pPr>
      <w:spacing w:after="140" w:line="290" w:lineRule="auto"/>
      <w:ind w:left="562"/>
      <w:jc w:val="both"/>
      <w:outlineLvl w:val="2"/>
    </w:pPr>
    <w:rPr>
      <w:kern w:val="20"/>
      <w:sz w:val="22"/>
      <w:szCs w:val="22"/>
    </w:rPr>
  </w:style>
  <w:style w:type="paragraph" w:styleId="GJPunkty4" w:customStyle="1">
    <w:name w:val="GJ Punkty 4"/>
    <w:basedOn w:val="Normalny"/>
    <w:pPr>
      <w:spacing w:after="140" w:line="290" w:lineRule="auto"/>
      <w:ind w:left="562"/>
      <w:jc w:val="both"/>
      <w:outlineLvl w:val="3"/>
    </w:pPr>
    <w:rPr>
      <w:kern w:val="20"/>
      <w:sz w:val="22"/>
      <w:szCs w:val="22"/>
    </w:rPr>
  </w:style>
  <w:style w:type="paragraph" w:styleId="GJPunkty5" w:customStyle="1">
    <w:name w:val="GJ Punkty 5"/>
    <w:basedOn w:val="Normalny"/>
    <w:pPr>
      <w:spacing w:after="140" w:line="290" w:lineRule="auto"/>
      <w:ind w:left="562"/>
      <w:jc w:val="both"/>
      <w:outlineLvl w:val="4"/>
    </w:pPr>
    <w:rPr>
      <w:kern w:val="20"/>
      <w:sz w:val="22"/>
      <w:szCs w:val="22"/>
    </w:rPr>
  </w:style>
  <w:style w:type="paragraph" w:styleId="GJPunkty6" w:customStyle="1">
    <w:name w:val="GJ Punkty 6"/>
    <w:basedOn w:val="Normalny"/>
    <w:pPr>
      <w:widowControl w:val="0"/>
      <w:spacing w:after="30" w:line="264" w:lineRule="auto"/>
      <w:ind w:left="562"/>
      <w:jc w:val="both"/>
      <w:outlineLvl w:val="5"/>
    </w:pPr>
    <w:rPr>
      <w:kern w:val="20"/>
      <w:sz w:val="22"/>
      <w:szCs w:val="22"/>
    </w:rPr>
  </w:style>
  <w:style w:type="paragraph" w:styleId="GJBlok" w:customStyle="1">
    <w:name w:val="GJ Blok"/>
    <w:basedOn w:val="Normalny"/>
    <w:pPr>
      <w:widowControl w:val="0"/>
      <w:spacing w:after="140" w:line="290" w:lineRule="auto"/>
      <w:jc w:val="both"/>
    </w:pPr>
    <w:rPr>
      <w:kern w:val="20"/>
      <w:sz w:val="22"/>
      <w:szCs w:val="22"/>
    </w:rPr>
  </w:style>
  <w:style w:type="paragraph" w:styleId="GJZaczniki" w:customStyle="1">
    <w:name w:val="GJ Załączniki"/>
    <w:pPr>
      <w:tabs>
        <w:tab w:val="num" w:pos="720"/>
        <w:tab w:val="left" w:pos="1123"/>
      </w:tabs>
      <w:suppressAutoHyphens w:val="1"/>
      <w:spacing w:after="40" w:line="290" w:lineRule="auto"/>
      <w:ind w:left="-1" w:leftChars="-1" w:hangingChars="1"/>
      <w:jc w:val="both"/>
      <w:textDirection w:val="btLr"/>
      <w:textAlignment w:val="top"/>
      <w:outlineLvl w:val="0"/>
    </w:pPr>
    <w:rPr>
      <w:position w:val="-1"/>
      <w:sz w:val="18"/>
      <w:szCs w:val="18"/>
      <w:lang w:val="pl-PL"/>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val="pl-PL"/>
    </w:rPr>
  </w:style>
  <w:style w:type="character" w:styleId="FontStyle17" w:customStyle="1">
    <w:name w:val="Font Style17"/>
    <w:rPr>
      <w:rFonts w:ascii="Calibri" w:cs="Calibri" w:hAnsi="Calibri"/>
      <w:color w:val="000000"/>
      <w:w w:val="100"/>
      <w:position w:val="-1"/>
      <w:sz w:val="20"/>
      <w:szCs w:val="20"/>
      <w:effect w:val="none"/>
      <w:vertAlign w:val="baseline"/>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NormalnyWeb">
    <w:name w:val="Normal (Web)"/>
    <w:basedOn w:val="Normalny"/>
    <w:qFormat w:val="1"/>
    <w:pPr>
      <w:spacing w:after="100" w:afterAutospacing="1" w:before="100" w:beforeAutospacing="1"/>
    </w:pPr>
    <w:rPr>
      <w:rFonts w:ascii="Times New Roman" w:cs="Times New Roman" w:hAnsi="Times New Roman"/>
      <w:lang w:eastAsia="pl-PL"/>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top w:w="14.0" w:type="dxa"/>
        <w:left w:w="144.0" w:type="dxa"/>
        <w:bottom w:w="14.0" w:type="dxa"/>
        <w:right w:w="144.0" w:type="dxa"/>
      </w:tblCellMar>
    </w:tblPr>
  </w:style>
  <w:style w:type="table" w:styleId="a0" w:customStyle="1">
    <w:basedOn w:val="TableNormal0"/>
    <w:tblPr>
      <w:tblStyleRowBandSize w:val="1"/>
      <w:tblStyleColBandSize w:val="1"/>
      <w:tblCellMar>
        <w:top w:w="28.0" w:type="dxa"/>
        <w:left w:w="70.0" w:type="dxa"/>
        <w:bottom w:w="28.0" w:type="dxa"/>
        <w:right w:w="70.0" w:type="dxa"/>
      </w:tblCellMar>
    </w:tblPr>
  </w:style>
  <w:style w:type="table" w:styleId="a1" w:customStyle="1">
    <w:basedOn w:val="TableNormal0"/>
    <w:tblPr>
      <w:tblStyleRowBandSize w:val="1"/>
      <w:tblStyleColBandSize w:val="1"/>
      <w:tblCellMar>
        <w:top w:w="28.0" w:type="dxa"/>
        <w:left w:w="70.0" w:type="dxa"/>
        <w:bottom w:w="28.0" w:type="dxa"/>
        <w:right w:w="70.0" w:type="dxa"/>
      </w:tblCellMar>
    </w:tblPr>
  </w:style>
  <w:style w:type="table" w:styleId="a2" w:customStyle="1">
    <w:basedOn w:val="TableNormal0"/>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XmMr+K9hpaKaIRovxGBVZSrYoA==">AMUW2mVPZHN/hdbvige4ifZ0qsVuG8ozCova3q+EApU7tEnFpwifa1Ft83Y3JDDNu3VP9RChk/NTOTORfUYfiELlrgOUmOv7d3uVR5OtnX4Uj0XeY08BcTYXrqiiUU6LoG/l1dYJv6dPe8c6qHUhpZSPW7+93F2bxa8nZVQXGQs4vkxrUi8nbzg2zFBJOKeSCo87q+9pvbk+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2021-11-08T21:46:00Z</dcterms:created>
  <dc:creator>Jakub Pietrasik</dc:creator>
</cp:coreProperties>
</file>