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100" w:line="360" w:lineRule="auto"/>
        <w:jc w:val="center"/>
        <w:rPr>
          <w:rFonts w:ascii="Open Sans" w:cs="Open Sans" w:eastAsia="Open Sans" w:hAnsi="Open Sans"/>
          <w:b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OPIS PRZEDMIOTU ZAMÓWIENIA 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360" w:hanging="360"/>
        <w:rPr>
          <w:rFonts w:ascii="Open Sans" w:cs="Open Sans" w:eastAsia="Open Sans" w:hAnsi="Open Sans"/>
          <w:b w:val="1"/>
          <w:color w:val="00000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u w:val="single"/>
          <w:rtl w:val="0"/>
        </w:rPr>
        <w:t xml:space="preserve">Przedmiot zamówienia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40" w:line="24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Przedmiotem zamówienia jest dostawa płytek – zmontowanych obwodów drukowanych wg. dostarczonej dokumentacji: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Open Sans" w:cs="Open Sans" w:eastAsia="Open Sans" w:hAnsi="Open Sans"/>
        </w:rPr>
      </w:pPr>
      <w:bookmarkStart w:colFirst="0" w:colLast="0" w:name="_heading=h.x9hppzza443v" w:id="0"/>
      <w:bookmarkEnd w:id="0"/>
      <w:r w:rsidDel="00000000" w:rsidR="00000000" w:rsidRPr="00000000">
        <w:rPr>
          <w:rFonts w:ascii="Open Sans" w:cs="Open Sans" w:eastAsia="Open Sans" w:hAnsi="Open Sans"/>
          <w:rtl w:val="0"/>
        </w:rPr>
        <w:t xml:space="preserve">PCB Motherboard</w:t>
        <w:tab/>
        <w:tab/>
        <w:t xml:space="preserve">35 szt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Open Sans" w:cs="Open Sans" w:eastAsia="Open Sans" w:hAnsi="Open Sans"/>
        </w:rPr>
      </w:pPr>
      <w:bookmarkStart w:colFirst="0" w:colLast="0" w:name="_heading=h.pvonmdx0teh4" w:id="1"/>
      <w:bookmarkEnd w:id="1"/>
      <w:r w:rsidDel="00000000" w:rsidR="00000000" w:rsidRPr="00000000">
        <w:rPr>
          <w:rFonts w:ascii="Open Sans" w:cs="Open Sans" w:eastAsia="Open Sans" w:hAnsi="Open Sans"/>
          <w:rtl w:val="0"/>
        </w:rPr>
        <w:t xml:space="preserve">PCB Connector</w:t>
        <w:tab/>
        <w:tab/>
        <w:t xml:space="preserve">35 szt</w:t>
      </w:r>
    </w:p>
    <w:p w:rsidR="00000000" w:rsidDel="00000000" w:rsidP="00000000" w:rsidRDefault="00000000" w:rsidRPr="00000000" w14:paraId="00000006">
      <w:pPr>
        <w:spacing w:after="0" w:line="240" w:lineRule="auto"/>
        <w:ind w:left="720" w:firstLine="0"/>
        <w:jc w:val="both"/>
        <w:rPr>
          <w:rFonts w:ascii="Open Sans" w:cs="Open Sans" w:eastAsia="Open Sans" w:hAnsi="Open Sans"/>
        </w:rPr>
      </w:pPr>
      <w:bookmarkStart w:colFirst="0" w:colLast="0" w:name="_heading=h.9a020reky0pv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line="360" w:lineRule="auto"/>
        <w:ind w:left="36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Zakres przedmiotu zamówienia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Open Sans" w:cs="Open Sans" w:eastAsia="Open Sans" w:hAnsi="Open Sans"/>
        </w:rPr>
      </w:pPr>
      <w:bookmarkStart w:colFirst="0" w:colLast="0" w:name="_heading=h.30j0zll" w:id="3"/>
      <w:bookmarkEnd w:id="3"/>
      <w:r w:rsidDel="00000000" w:rsidR="00000000" w:rsidRPr="00000000">
        <w:rPr>
          <w:rFonts w:ascii="Open Sans" w:cs="Open Sans" w:eastAsia="Open Sans" w:hAnsi="Open Sans"/>
          <w:rtl w:val="0"/>
        </w:rPr>
        <w:t xml:space="preserve">Szczegółowy opis przedmiotu zamówienia znajduje się w punkcie 5 niniejszego dokumentu. Całkowita cena za produkty określone w punkcie 1 powinna zawierać całkowity koszt wraz z opakowaniem ESD (</w:t>
      </w:r>
      <w:r w:rsidDel="00000000" w:rsidR="00000000" w:rsidRPr="00000000">
        <w:rPr>
          <w:rFonts w:ascii="Open Sans" w:cs="Open Sans" w:eastAsia="Open Sans" w:hAnsi="Open Sans"/>
          <w:highlight w:val="white"/>
          <w:rtl w:val="0"/>
        </w:rPr>
        <w:t xml:space="preserve">electrostatic discharge -chroniącym przed wyładowaniami elektrostatycznymi)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oraz  dostarczeniem  do siedziby Zamawiającego.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="360" w:lineRule="auto"/>
        <w:ind w:left="360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Szczegółowy zakres przedmiotu 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Dokumentacja w postaci poniższych plików produkcyjnych zostanie udostępniona jedynie kontrahentom z po podpisaniu umowy o zachowaniu poufności :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after="0" w:line="240" w:lineRule="auto"/>
        <w:ind w:left="108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Pick Place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after="0" w:line="240" w:lineRule="auto"/>
        <w:ind w:left="108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NC Drill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spacing w:after="0" w:line="240" w:lineRule="auto"/>
        <w:ind w:left="108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Gerber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after="0" w:line="240" w:lineRule="auto"/>
        <w:ind w:left="108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Bill of Materials</w:t>
      </w:r>
    </w:p>
    <w:p w:rsidR="00000000" w:rsidDel="00000000" w:rsidP="00000000" w:rsidRDefault="00000000" w:rsidRPr="00000000" w14:paraId="00000010">
      <w:pPr>
        <w:spacing w:after="0" w:line="240" w:lineRule="auto"/>
        <w:ind w:left="108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u w:val="single"/>
          <w:rtl w:val="0"/>
        </w:rPr>
        <w:t xml:space="preserve">Dodatkowe informacje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after="0" w:line="240" w:lineRule="auto"/>
        <w:ind w:left="108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Elementy mają zostać wykonane zgodnie z załączoną dokumentacją.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after="0" w:line="240" w:lineRule="auto"/>
        <w:ind w:left="108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Elementy mają zostać wykonane z materiałów wskazanych w BOM’ach (zestawienie konkretnych elementów płytki). 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after="0" w:line="240" w:lineRule="auto"/>
        <w:ind w:left="108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Wszystkie elementy dostarczone do siedziby Zamawiającego mają być umyte, odtłuszczone. Nie mogą zawierać żadnych wgnieceń, pęknięć i innych wad powierzchni lub źle przylutowanych elementów. 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after="0" w:line="240" w:lineRule="auto"/>
        <w:ind w:left="108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Wszystkie elementy mają zostać posegregowane, zapakowane tak, aby nie uszkadzały się w czasie transportu i składowania. Mają zostać dostarczone w paczkach do siedziby Zamawiającego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after="0" w:line="240" w:lineRule="auto"/>
        <w:ind w:left="108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Elementy zostaną sprawdzone w przygotowanym do tego celu urządzeniu potwierdzenia ich zgodności z załączoną dokumentacją oraz poprawnością działania. W przypadku niezgodności wykonanego elementu z dokumentacją, Zamawiający zastrzega sobie prawo do zwrotu wykonawcy całości zamówienia do sprawdzenia i poprawy elementów. 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spacing w:after="0" w:line="240" w:lineRule="auto"/>
        <w:ind w:left="108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 przypadku niedostarczenia żądanej ilości elementów lub dostarczenia elementów wykonanych ze złych materiałów Zamawiający zażąda od Wykonawcy wykonania brakujących elementów lub wykonania elementów z właściwych materiałów.</w:t>
      </w:r>
    </w:p>
    <w:p w:rsidR="00000000" w:rsidDel="00000000" w:rsidP="00000000" w:rsidRDefault="00000000" w:rsidRPr="00000000" w14:paraId="00000018">
      <w:pPr>
        <w:ind w:left="36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417" w:right="707" w:header="708" w:footer="39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ahoma" w:cs="Tahoma" w:eastAsia="Tahoma" w:hAnsi="Tahoma"/>
        <w:color w:val="000000"/>
        <w:sz w:val="18"/>
        <w:szCs w:val="18"/>
      </w:rPr>
    </w:pP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SDM-WG/57</w:t>
      <w:tab/>
      <w:tab/>
      <w:tab/>
    </w:r>
    <w:r w:rsidDel="00000000" w:rsidR="00000000" w:rsidRPr="00000000">
      <w:rPr>
        <w:rFonts w:ascii="Tahoma" w:cs="Tahoma" w:eastAsia="Tahoma" w:hAnsi="Tahoma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spacing w:after="160" w:line="259" w:lineRule="auto"/>
      <w:jc w:val="center"/>
      <w:rPr>
        <w:color w:val="000000"/>
      </w:rPr>
    </w:pPr>
    <w:r w:rsidDel="00000000" w:rsidR="00000000" w:rsidRPr="00000000">
      <w:rPr>
        <w:b w:val="1"/>
        <w:sz w:val="28"/>
        <w:szCs w:val="28"/>
      </w:rPr>
      <w:drawing>
        <wp:inline distB="114300" distT="114300" distL="114300" distR="114300">
          <wp:extent cx="5760410" cy="749300"/>
          <wp:effectExtent b="0" l="0" r="0" t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410" cy="749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rFonts w:ascii="Calibri" w:cs="Calibri" w:eastAsia="Calibri" w:hAnsi="Calibri"/>
        <w:b w:val="1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</w:style>
  <w:style w:type="paragraph" w:styleId="Nagwek1">
    <w:name w:val="heading 1"/>
    <w:basedOn w:val="Normalny"/>
    <w:next w:val="Normalny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Nagwek2">
    <w:name w:val="heading 2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gwek3">
    <w:name w:val="heading 3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gwek4">
    <w:name w:val="heading 4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gwek5">
    <w:name w:val="heading 5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Nagwek6">
    <w:name w:val="heading 6"/>
    <w:basedOn w:val="Normalny"/>
    <w:next w:val="Normalny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tytu">
    <w:name w:val="Subtitle"/>
    <w:basedOn w:val="Normalny"/>
    <w:next w:val="Normalny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4"/>
    <w:tblPr>
      <w:tblStyleRowBandSize w:val="1"/>
      <w:tblStyleColBandSize w:val="1"/>
      <w:tblCellMar>
        <w:top w:w="28.0" w:type="dxa"/>
        <w:left w:w="70.0" w:type="dxa"/>
        <w:bottom w:w="28.0" w:type="dxa"/>
        <w:right w:w="70.0" w:type="dxa"/>
      </w:tblCellMar>
    </w:tblPr>
  </w:style>
  <w:style w:type="table" w:styleId="a0" w:customStyle="1">
    <w:basedOn w:val="TableNormal4"/>
    <w:tblPr>
      <w:tblStyleRowBandSize w:val="1"/>
      <w:tblStyleColBandSize w:val="1"/>
      <w:tblCellMar>
        <w:top w:w="28.0" w:type="dxa"/>
        <w:left w:w="70.0" w:type="dxa"/>
        <w:bottom w:w="28.0" w:type="dxa"/>
        <w:right w:w="70.0" w:type="dxa"/>
      </w:tblCellMar>
    </w:tbl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2C0B7B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2C0B7B"/>
    <w:rPr>
      <w:rFonts w:ascii="Segoe UI" w:cs="Segoe UI" w:hAnsi="Segoe UI"/>
      <w:sz w:val="18"/>
      <w:szCs w:val="18"/>
    </w:rPr>
  </w:style>
  <w:style w:type="paragraph" w:styleId="Akapitzlist">
    <w:name w:val="List Paragraph"/>
    <w:basedOn w:val="Normalny"/>
    <w:uiPriority w:val="34"/>
    <w:qFormat w:val="1"/>
    <w:rsid w:val="00E51616"/>
    <w:pPr>
      <w:ind w:left="720"/>
      <w:contextualSpacing w:val="1"/>
    </w:pPr>
  </w:style>
  <w:style w:type="table" w:styleId="a1" w:customStyle="1">
    <w:basedOn w:val="TableNormal4"/>
    <w:tblPr>
      <w:tblStyleRowBandSize w:val="1"/>
      <w:tblStyleColBandSize w:val="1"/>
      <w:tblCellMar>
        <w:top w:w="28.0" w:type="dxa"/>
        <w:left w:w="70.0" w:type="dxa"/>
        <w:bottom w:w="28.0" w:type="dxa"/>
        <w:right w:w="70.0" w:type="dxa"/>
      </w:tblCellMar>
    </w:tblPr>
  </w:style>
  <w:style w:type="table" w:styleId="a2" w:customStyle="1">
    <w:basedOn w:val="TableNormal3"/>
    <w:tblPr>
      <w:tblStyleRowBandSize w:val="1"/>
      <w:tblStyleColBandSize w:val="1"/>
      <w:tblCellMar>
        <w:top w:w="28.0" w:type="dxa"/>
        <w:left w:w="70.0" w:type="dxa"/>
        <w:bottom w:w="28.0" w:type="dxa"/>
        <w:right w:w="70.0" w:type="dxa"/>
      </w:tblCellMar>
    </w:tblPr>
  </w:style>
  <w:style w:type="table" w:styleId="a3" w:customStyle="1">
    <w:basedOn w:val="TableNormal2"/>
    <w:tblPr>
      <w:tblStyleRowBandSize w:val="1"/>
      <w:tblStyleColBandSize w:val="1"/>
      <w:tblCellMar>
        <w:top w:w="28.0" w:type="dxa"/>
        <w:left w:w="70.0" w:type="dxa"/>
        <w:bottom w:w="28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99FnFABEVhcV8zh2QXQAnGOJVA==">AMUW2mVtJpUjmJrDdaLJoDO8m27+Q0nZMKFFatz7l4B6pqYkD1FWW9HY+5rYw7KvSrg8CjTW9ifCYrHpQx4W4C5DYoDCz3gY6BWHxnozoUGGboMR++PUpNqYb+6HFYndo5MO9TyQPNqivcJm982oniTOH0HZuS0CMC1nt8/2IiGqqCJ+IFJJpPLD3R4z8fVfKVkpObnmOoJv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2021-08-11T13:10:00Z</dcterms:created>
  <dc:creator>Dominik Nowak</dc:creator>
</cp:coreProperties>
</file>